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9815" w14:textId="77777777" w:rsidR="009F3A1D" w:rsidRDefault="009F3A1D" w:rsidP="00323719">
      <w:pPr>
        <w:pStyle w:val="Heading1"/>
      </w:pPr>
    </w:p>
    <w:p w14:paraId="0A180F16" w14:textId="77777777" w:rsidR="009F3A1D" w:rsidRDefault="009F3A1D" w:rsidP="00323719">
      <w:pPr>
        <w:pStyle w:val="Heading1"/>
      </w:pPr>
    </w:p>
    <w:p w14:paraId="58076DF9" w14:textId="77777777" w:rsidR="009F3A1D" w:rsidRDefault="009F3A1D" w:rsidP="00323719">
      <w:pPr>
        <w:pStyle w:val="Heading1"/>
      </w:pPr>
    </w:p>
    <w:p w14:paraId="3012BF07" w14:textId="77777777" w:rsidR="009F3A1D" w:rsidRDefault="009F3A1D" w:rsidP="00323719">
      <w:pPr>
        <w:pStyle w:val="Heading1"/>
      </w:pPr>
    </w:p>
    <w:p w14:paraId="5A3733A7" w14:textId="77777777" w:rsidR="00323719" w:rsidRDefault="00323719" w:rsidP="00323719">
      <w:pPr>
        <w:pStyle w:val="Heading1"/>
      </w:pPr>
      <w:r>
        <w:t>ANNUAL GP IMMUNISATION CAMPAIGN</w:t>
      </w:r>
    </w:p>
    <w:p w14:paraId="12C56BC8" w14:textId="77777777" w:rsidR="00323719" w:rsidRDefault="00A769DC" w:rsidP="00323719">
      <w:pPr>
        <w:pStyle w:val="Heading1"/>
      </w:pPr>
      <w:r>
        <w:t>MMR CALL AND RECALL</w:t>
      </w:r>
    </w:p>
    <w:p w14:paraId="3AC49087" w14:textId="77777777" w:rsidR="00EE0481" w:rsidRPr="001E27F8" w:rsidRDefault="00323719" w:rsidP="00323719">
      <w:pPr>
        <w:pStyle w:val="Heading1"/>
      </w:pPr>
      <w:r>
        <w:t>SUPPORT</w:t>
      </w:r>
      <w:r w:rsidR="00A769DC">
        <w:t xml:space="preserve"> SHEET FOR VACCINATORS</w:t>
      </w:r>
    </w:p>
    <w:p w14:paraId="21E95FB7" w14:textId="77777777" w:rsidR="001D243C" w:rsidRPr="007A1D0E" w:rsidRDefault="00A769DC" w:rsidP="00905552">
      <w:pPr>
        <w:pStyle w:val="Subheading"/>
      </w:pPr>
      <w:r>
        <w:t>November 2023-January 2024</w:t>
      </w:r>
    </w:p>
    <w:p w14:paraId="1109ACB3" w14:textId="77777777" w:rsidR="009F3A1D" w:rsidRDefault="009F3A1D">
      <w:pPr>
        <w:spacing w:after="0" w:line="240" w:lineRule="auto"/>
        <w:textboxTightWrap w:val="none"/>
        <w:rPr>
          <w:rFonts w:ascii="Arial Bold" w:hAnsi="Arial Bold" w:cs="Arial"/>
          <w:b/>
          <w:color w:val="231F20" w:themeColor="background1"/>
          <w:kern w:val="28"/>
          <w:sz w:val="32"/>
          <w14:ligatures w14:val="standardContextual"/>
        </w:rPr>
      </w:pPr>
      <w:bookmarkStart w:id="0" w:name="_Toc65072034"/>
      <w:bookmarkStart w:id="1" w:name="_Toc350174611"/>
      <w:r>
        <w:br w:type="page"/>
      </w:r>
    </w:p>
    <w:bookmarkEnd w:id="0"/>
    <w:bookmarkEnd w:id="1"/>
    <w:p w14:paraId="3B3311DD" w14:textId="77777777" w:rsidR="007E501D" w:rsidRPr="00246075" w:rsidRDefault="00120B75" w:rsidP="007E501D">
      <w:pPr>
        <w:pStyle w:val="Heading2"/>
      </w:pPr>
      <w:r>
        <w:lastRenderedPageBreak/>
        <w:t>MMR Catch Up Campaign - Introduction</w:t>
      </w:r>
    </w:p>
    <w:p w14:paraId="31412606" w14:textId="77777777" w:rsidR="00120B75" w:rsidRDefault="00120B75" w:rsidP="00120B75">
      <w:bookmarkStart w:id="2" w:name="_Toc65072035"/>
      <w:r>
        <w:t xml:space="preserve">Practices are required to participate in a national vaccination and immunisation national catch-up campaign each year, as a requirement of the GP contracts. The 2023/24 national vaccinations and immunisations catch-up campaign will once again focus on measles, mumps, and rubella (MMR).  </w:t>
      </w:r>
    </w:p>
    <w:p w14:paraId="2B5C8CBF" w14:textId="77777777" w:rsidR="00120B75" w:rsidRDefault="00120B75" w:rsidP="00120B75">
      <w:r>
        <w:t xml:space="preserve">Measles cases are rising with over twice as many cases confirmed in the first half of 2023 compared to the previous year. We know that having the MMR vaccine is the best way to protect our communities and this campaign is therefore aimed at improving uptake in MMR vaccinations, improving recording of MMR vaccination status and reducing the risk of outbreaks in England.  </w:t>
      </w:r>
    </w:p>
    <w:p w14:paraId="189049B1" w14:textId="77777777" w:rsidR="000767F6" w:rsidRDefault="000767F6" w:rsidP="00120B75">
      <w:r>
        <w:t xml:space="preserve">Practices may have already attempted call and recall of patients who have not received one or both doses of MMR.  This campaign requires that all patients aged 1-5 who are not fully vaccinated are </w:t>
      </w:r>
      <w:r w:rsidR="00323719">
        <w:t xml:space="preserve">again </w:t>
      </w:r>
      <w:r>
        <w:t>called and recalled.</w:t>
      </w:r>
    </w:p>
    <w:p w14:paraId="7267B7A8" w14:textId="77777777" w:rsidR="00120B75" w:rsidRDefault="00120B75" w:rsidP="00120B75">
      <w:pPr>
        <w:pStyle w:val="Heading2"/>
      </w:pPr>
      <w:r>
        <w:t>Campaign timings</w:t>
      </w:r>
    </w:p>
    <w:p w14:paraId="0FFD9641" w14:textId="77777777" w:rsidR="00120B75" w:rsidRDefault="00120B75" w:rsidP="00224D32">
      <w:pPr>
        <w:pStyle w:val="Heading3"/>
      </w:pPr>
      <w:r>
        <w:t>The campaign will run from November 2023 to March 2024 in two stages:</w:t>
      </w:r>
    </w:p>
    <w:p w14:paraId="0E79F696" w14:textId="77777777" w:rsidR="00120B75" w:rsidRDefault="00120B75" w:rsidP="00120B75">
      <w:r>
        <w:t>From November 2023 to March 2024 – practices will be required to undertake local call and recall for eligible individuals aged 12 months up to and including 5 years.</w:t>
      </w:r>
    </w:p>
    <w:p w14:paraId="77F58A17" w14:textId="77777777" w:rsidR="00120B75" w:rsidRDefault="00120B75" w:rsidP="000767F6">
      <w:r>
        <w:t xml:space="preserve">From January 2024 to March 2024 – practices are asked to support requests for vaccination from individuals aged 6 years up to and including 25 years. This cohort will be identified through phased national call and recall, and where individuals or parents/carers contact their practice following receipt of the invitation, practices are required to check the individual’s vaccination status for valid vaccinations (e.g., given at the correct age and at the correct intervals) and book an appointment for vaccination if clinically appropriate. </w:t>
      </w:r>
    </w:p>
    <w:p w14:paraId="21BF9E00" w14:textId="77777777" w:rsidR="00120B75" w:rsidRDefault="00120B75" w:rsidP="00224D32">
      <w:pPr>
        <w:pStyle w:val="Heading3"/>
      </w:pPr>
      <w:r>
        <w:t>Funding and vaccine ordering</w:t>
      </w:r>
    </w:p>
    <w:p w14:paraId="4F1D3366" w14:textId="77777777" w:rsidR="00120B75" w:rsidRDefault="00120B75" w:rsidP="00120B75">
      <w:r>
        <w:t>Funding for participation in the national catch-up campaign is included in global sum payments. Practices are also eligible for an item of service payment of £10.06, in line with requirements set out in GP contracts, for each MMR vaccination administered because of this catch-up activity.</w:t>
      </w:r>
    </w:p>
    <w:p w14:paraId="2E49C23F" w14:textId="77777777" w:rsidR="007E501D" w:rsidRDefault="00120B75" w:rsidP="00120B75">
      <w:r>
        <w:t>The MMR vaccine continues to be available for practices to order through IMMFORM.</w:t>
      </w:r>
    </w:p>
    <w:p w14:paraId="5EADBDD5" w14:textId="77777777" w:rsidR="000767F6" w:rsidRDefault="000767F6" w:rsidP="000767F6">
      <w:pPr>
        <w:pStyle w:val="Heading2"/>
      </w:pPr>
      <w:r>
        <w:t>Contacting patients</w:t>
      </w:r>
    </w:p>
    <w:p w14:paraId="4A587124" w14:textId="77777777" w:rsidR="000767F6" w:rsidRPr="000767F6" w:rsidRDefault="000767F6" w:rsidP="000767F6">
      <w:r>
        <w:t xml:space="preserve">Practices are required to invite patients and send reminders in a variety of ways.  Where a contact has not resulted in a vaccination, staff in your practice who have a patient facing role are advised to call parents/guardians and have a discussion about getting their children fully protected. </w:t>
      </w:r>
    </w:p>
    <w:p w14:paraId="3DF946F9" w14:textId="77777777" w:rsidR="000767F6" w:rsidRDefault="000767F6" w:rsidP="00120B75">
      <w:r>
        <w:lastRenderedPageBreak/>
        <w:t>The Following section provides advice and guidance on the conversation you should have.</w:t>
      </w:r>
    </w:p>
    <w:bookmarkEnd w:id="2"/>
    <w:p w14:paraId="1F249095" w14:textId="77777777" w:rsidR="00A769DC" w:rsidRPr="00A769DC" w:rsidRDefault="00A769DC" w:rsidP="000767F6">
      <w:pPr>
        <w:pStyle w:val="Heading2"/>
        <w:rPr>
          <w:rFonts w:eastAsia="Calibri"/>
        </w:rPr>
      </w:pPr>
      <w:r w:rsidRPr="00A769DC">
        <w:rPr>
          <w:rFonts w:eastAsia="Calibri"/>
        </w:rPr>
        <w:t>Recommendations for calls</w:t>
      </w:r>
    </w:p>
    <w:p w14:paraId="58CB5A9A" w14:textId="77777777" w:rsidR="00A769DC" w:rsidRPr="000767F6" w:rsidRDefault="00A769DC" w:rsidP="00224D32">
      <w:pPr>
        <w:pStyle w:val="Heading3"/>
        <w:rPr>
          <w:rFonts w:asciiTheme="minorHAnsi" w:eastAsia="Calibri" w:hAnsiTheme="minorHAnsi" w:cstheme="minorHAnsi"/>
        </w:rPr>
      </w:pPr>
      <w:r w:rsidRPr="000767F6">
        <w:rPr>
          <w:rFonts w:asciiTheme="minorHAnsi" w:eastAsia="Calibri" w:hAnsiTheme="minorHAnsi" w:cstheme="minorHAnsi"/>
        </w:rPr>
        <w:t>Opening the call:</w:t>
      </w:r>
    </w:p>
    <w:p w14:paraId="0C5FA1D0" w14:textId="77777777" w:rsidR="00A769DC" w:rsidRPr="00A769DC" w:rsidRDefault="00A769DC" w:rsidP="00A769DC">
      <w:pPr>
        <w:numPr>
          <w:ilvl w:val="0"/>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Frame offer in terms of child’s health, e.g.:</w:t>
      </w:r>
    </w:p>
    <w:p w14:paraId="4BCF5033" w14:textId="77777777" w:rsidR="00A769DC" w:rsidRPr="00A769DC" w:rsidRDefault="00A769DC" w:rsidP="00A769DC">
      <w:pPr>
        <w:numPr>
          <w:ilvl w:val="1"/>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Highlight concerns about diseases</w:t>
      </w:r>
    </w:p>
    <w:p w14:paraId="6B4491BC" w14:textId="77777777" w:rsidR="00A769DC" w:rsidRPr="00A769DC" w:rsidRDefault="00A769DC" w:rsidP="00A769DC">
      <w:pPr>
        <w:numPr>
          <w:ilvl w:val="1"/>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 xml:space="preserve">Offer protection for child </w:t>
      </w:r>
    </w:p>
    <w:p w14:paraId="4097D800" w14:textId="77777777" w:rsidR="00A769DC" w:rsidRPr="00A769DC" w:rsidRDefault="00A769DC" w:rsidP="00A769DC">
      <w:pPr>
        <w:spacing w:after="0" w:line="276" w:lineRule="auto"/>
        <w:textboxTightWrap w:val="none"/>
        <w:rPr>
          <w:rFonts w:asciiTheme="minorHAnsi" w:eastAsia="Calibri" w:hAnsiTheme="minorHAnsi" w:cstheme="minorHAnsi"/>
          <w:color w:val="auto"/>
          <w:kern w:val="2"/>
          <w14:ligatures w14:val="standardContextual"/>
        </w:rPr>
      </w:pPr>
    </w:p>
    <w:p w14:paraId="1C4657D6" w14:textId="77777777" w:rsidR="00A769DC" w:rsidRPr="00A769DC" w:rsidRDefault="00A769DC" w:rsidP="00A769DC">
      <w:pPr>
        <w:numPr>
          <w:ilvl w:val="0"/>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Use open-ended questions to solicit opinions/guide parent to a definitive response:</w:t>
      </w:r>
    </w:p>
    <w:p w14:paraId="51A46C6E" w14:textId="77777777" w:rsidR="00A769DC" w:rsidRPr="00A769DC" w:rsidRDefault="00A769DC" w:rsidP="00A769DC">
      <w:pPr>
        <w:numPr>
          <w:ilvl w:val="1"/>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What’s the best way to arrange an appointment for [child]?</w:t>
      </w:r>
    </w:p>
    <w:p w14:paraId="2BE0A0F0" w14:textId="77777777" w:rsidR="00A769DC" w:rsidRPr="00A769DC" w:rsidRDefault="00A769DC" w:rsidP="00A769DC">
      <w:pPr>
        <w:numPr>
          <w:ilvl w:val="2"/>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i/>
          <w:iCs/>
          <w:color w:val="auto"/>
          <w:kern w:val="2"/>
          <w14:ligatures w14:val="standardContextual"/>
        </w:rPr>
        <w:t>People are likely to explain more in response to a “what” question</w:t>
      </w:r>
    </w:p>
    <w:p w14:paraId="638ADD05" w14:textId="77777777" w:rsidR="00A769DC" w:rsidRPr="00A769DC" w:rsidRDefault="00A769DC" w:rsidP="00A769DC">
      <w:pPr>
        <w:numPr>
          <w:ilvl w:val="1"/>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What would work for you?</w:t>
      </w:r>
    </w:p>
    <w:p w14:paraId="614DEDBE" w14:textId="77777777" w:rsidR="00A769DC" w:rsidRPr="00A769DC" w:rsidRDefault="00A769DC" w:rsidP="00A769DC">
      <w:pPr>
        <w:numPr>
          <w:ilvl w:val="2"/>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i/>
          <w:iCs/>
          <w:color w:val="auto"/>
          <w:kern w:val="2"/>
          <w14:ligatures w14:val="standardContextual"/>
        </w:rPr>
        <w:t>This general question can help with eliciting preferences</w:t>
      </w:r>
    </w:p>
    <w:p w14:paraId="05A68591" w14:textId="77777777" w:rsidR="00A769DC" w:rsidRPr="00A769DC" w:rsidRDefault="00A769DC" w:rsidP="00A769DC">
      <w:pPr>
        <w:numPr>
          <w:ilvl w:val="1"/>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What information would help you reach a decision?</w:t>
      </w:r>
    </w:p>
    <w:p w14:paraId="605EC299" w14:textId="77777777" w:rsidR="00A769DC" w:rsidRPr="00A769DC" w:rsidRDefault="00A769DC" w:rsidP="00A769DC">
      <w:pPr>
        <w:numPr>
          <w:ilvl w:val="2"/>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i/>
          <w:iCs/>
          <w:color w:val="auto"/>
          <w:kern w:val="2"/>
          <w14:ligatures w14:val="standardContextual"/>
        </w:rPr>
        <w:t>E.g., if parent expresses uncertainty – guides them to tell you what you should provide next</w:t>
      </w:r>
    </w:p>
    <w:p w14:paraId="2E5C46E4" w14:textId="77777777" w:rsidR="00A769DC" w:rsidRPr="00A769DC" w:rsidRDefault="00A769DC" w:rsidP="00A769DC">
      <w:pPr>
        <w:numPr>
          <w:ilvl w:val="1"/>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What would reassure you about your decision?</w:t>
      </w:r>
    </w:p>
    <w:p w14:paraId="25187478" w14:textId="77777777" w:rsidR="00A769DC" w:rsidRPr="00A769DC" w:rsidRDefault="00A769DC" w:rsidP="00A769DC">
      <w:pPr>
        <w:numPr>
          <w:ilvl w:val="2"/>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i/>
          <w:iCs/>
          <w:color w:val="auto"/>
          <w:kern w:val="2"/>
          <w14:ligatures w14:val="standardContextual"/>
        </w:rPr>
        <w:t>E.g., if parent expresses concerns – guides them to tell you the type of information that would help convince them</w:t>
      </w:r>
    </w:p>
    <w:p w14:paraId="3638D8B1" w14:textId="77777777" w:rsidR="00A769DC" w:rsidRPr="00A769DC" w:rsidRDefault="00A769DC" w:rsidP="00A769DC">
      <w:pPr>
        <w:numPr>
          <w:ilvl w:val="1"/>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What makes you say that?</w:t>
      </w:r>
    </w:p>
    <w:p w14:paraId="3DDDC183" w14:textId="77777777" w:rsidR="00A769DC" w:rsidRPr="00A769DC" w:rsidRDefault="00A769DC" w:rsidP="00A769DC">
      <w:pPr>
        <w:numPr>
          <w:ilvl w:val="2"/>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i/>
          <w:iCs/>
          <w:color w:val="auto"/>
          <w:kern w:val="2"/>
          <w14:ligatures w14:val="standardContextual"/>
        </w:rPr>
        <w:t>E.g., if parent says “no I don’t want to” – provides an opportunity to explore further if they are undecided as opposed to firmly rejecting</w:t>
      </w:r>
    </w:p>
    <w:p w14:paraId="7F5595CE" w14:textId="77777777" w:rsidR="00A769DC" w:rsidRPr="00A769DC" w:rsidRDefault="00A769DC" w:rsidP="00A769DC">
      <w:pPr>
        <w:spacing w:after="0" w:line="276" w:lineRule="auto"/>
        <w:textboxTightWrap w:val="none"/>
        <w:rPr>
          <w:rFonts w:ascii="Calibri" w:eastAsia="Calibri" w:hAnsi="Calibri" w:cs="Calibri"/>
          <w:color w:val="auto"/>
          <w:kern w:val="2"/>
          <w14:ligatures w14:val="standardContextual"/>
        </w:rPr>
      </w:pPr>
    </w:p>
    <w:p w14:paraId="1160EA2A" w14:textId="77777777" w:rsidR="00A769DC" w:rsidRPr="00A769DC" w:rsidRDefault="00A769DC" w:rsidP="00224D32">
      <w:pPr>
        <w:pStyle w:val="Heading3"/>
        <w:rPr>
          <w:rFonts w:eastAsia="Calibri"/>
        </w:rPr>
      </w:pPr>
      <w:r w:rsidRPr="00A769DC">
        <w:rPr>
          <w:rFonts w:eastAsia="Calibri"/>
        </w:rPr>
        <w:t>During the conversation:</w:t>
      </w:r>
    </w:p>
    <w:p w14:paraId="4E03F724" w14:textId="77777777" w:rsidR="00A769DC" w:rsidRPr="00A769DC" w:rsidRDefault="00A769DC" w:rsidP="00A769DC">
      <w:pPr>
        <w:numPr>
          <w:ilvl w:val="0"/>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Affirm parents’ concerns when responding (this helps build rapport and make them feel heard)</w:t>
      </w:r>
    </w:p>
    <w:p w14:paraId="092D0E87" w14:textId="77777777" w:rsidR="00A769DC" w:rsidRPr="00A769DC" w:rsidRDefault="00A769DC" w:rsidP="00A769DC">
      <w:pPr>
        <w:numPr>
          <w:ilvl w:val="1"/>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Praise positive actions they have taken</w:t>
      </w:r>
    </w:p>
    <w:p w14:paraId="2092FA7B" w14:textId="77777777" w:rsidR="00A769DC" w:rsidRPr="00A769DC" w:rsidRDefault="00A769DC" w:rsidP="00A769DC">
      <w:pPr>
        <w:numPr>
          <w:ilvl w:val="2"/>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E.g., “It’s good to hear you’re being careful about health risks for [child]”</w:t>
      </w:r>
    </w:p>
    <w:p w14:paraId="41A00551" w14:textId="77777777" w:rsidR="00A769DC" w:rsidRPr="00A769DC" w:rsidRDefault="00A769DC" w:rsidP="00A769DC">
      <w:pPr>
        <w:numPr>
          <w:ilvl w:val="1"/>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Validate common values and priorities</w:t>
      </w:r>
    </w:p>
    <w:p w14:paraId="32F8DCF4" w14:textId="77777777" w:rsidR="00A769DC" w:rsidRPr="00A769DC" w:rsidRDefault="00A769DC" w:rsidP="00A769DC">
      <w:pPr>
        <w:numPr>
          <w:ilvl w:val="2"/>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E.g., “I agree, it’s important to do the best thing for [child].”</w:t>
      </w:r>
    </w:p>
    <w:p w14:paraId="10413F08" w14:textId="77777777" w:rsidR="00A769DC" w:rsidRPr="00A769DC" w:rsidRDefault="00A769DC" w:rsidP="00A769DC">
      <w:pPr>
        <w:numPr>
          <w:ilvl w:val="1"/>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Normalise parents’ position</w:t>
      </w:r>
    </w:p>
    <w:p w14:paraId="321BC6D6" w14:textId="77777777" w:rsidR="00A769DC" w:rsidRPr="00A769DC" w:rsidRDefault="00A769DC" w:rsidP="00A769DC">
      <w:pPr>
        <w:numPr>
          <w:ilvl w:val="2"/>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E.g., “Many parents also share these concerns, it’s very normal.”</w:t>
      </w:r>
    </w:p>
    <w:p w14:paraId="6EA7CAAB" w14:textId="77777777" w:rsidR="00A769DC" w:rsidRPr="00A769DC" w:rsidRDefault="00A769DC" w:rsidP="00A769DC">
      <w:pPr>
        <w:numPr>
          <w:ilvl w:val="1"/>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 xml:space="preserve">Acknowledge truths in any concerns </w:t>
      </w:r>
    </w:p>
    <w:p w14:paraId="3616F48A" w14:textId="77777777" w:rsidR="00A769DC" w:rsidRPr="00A769DC" w:rsidRDefault="00A769DC" w:rsidP="00A769DC">
      <w:pPr>
        <w:numPr>
          <w:ilvl w:val="2"/>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E.g., “You’re right that sometimes medicines can be overused.”</w:t>
      </w:r>
    </w:p>
    <w:p w14:paraId="29B013B2" w14:textId="77777777" w:rsidR="00A769DC" w:rsidRPr="00A769DC" w:rsidRDefault="00A769DC" w:rsidP="00A769DC">
      <w:pPr>
        <w:spacing w:after="0" w:line="276" w:lineRule="auto"/>
        <w:textboxTightWrap w:val="none"/>
        <w:rPr>
          <w:rFonts w:asciiTheme="minorHAnsi" w:eastAsia="Calibri" w:hAnsiTheme="minorHAnsi" w:cstheme="minorHAnsi"/>
          <w:color w:val="auto"/>
          <w:kern w:val="2"/>
          <w14:ligatures w14:val="standardContextual"/>
        </w:rPr>
      </w:pPr>
    </w:p>
    <w:p w14:paraId="62F06B07" w14:textId="77777777" w:rsidR="00A769DC" w:rsidRPr="00A769DC" w:rsidRDefault="00A769DC" w:rsidP="00A769DC">
      <w:pPr>
        <w:numPr>
          <w:ilvl w:val="0"/>
          <w:numId w:val="4"/>
        </w:numPr>
        <w:spacing w:after="0" w:line="276" w:lineRule="auto"/>
        <w:contextualSpacing/>
        <w:textboxTightWrap w:val="none"/>
        <w:rPr>
          <w:rFonts w:asciiTheme="minorHAnsi" w:eastAsia="Calibri" w:hAnsiTheme="minorHAnsi" w:cstheme="minorHAnsi"/>
          <w:color w:val="auto"/>
          <w:kern w:val="2"/>
          <w:u w:val="single"/>
          <w14:ligatures w14:val="standardContextual"/>
        </w:rPr>
      </w:pPr>
      <w:r w:rsidRPr="00A769DC">
        <w:rPr>
          <w:rFonts w:asciiTheme="minorHAnsi" w:eastAsia="Calibri" w:hAnsiTheme="minorHAnsi" w:cstheme="minorHAnsi"/>
          <w:color w:val="auto"/>
          <w:kern w:val="2"/>
          <w14:ligatures w14:val="standardContextual"/>
        </w:rPr>
        <w:t xml:space="preserve">If parents have certain misconceptions, try and identify what’s behind them and speak to that underlying motivation. Some common misconceptions and tailored responses can be found at this website (you can try searching for key words like “autism”): </w:t>
      </w:r>
      <w:hyperlink r:id="rId11" w:history="1">
        <w:r w:rsidRPr="00A769DC">
          <w:rPr>
            <w:rFonts w:asciiTheme="minorHAnsi" w:eastAsia="Calibri" w:hAnsiTheme="minorHAnsi" w:cstheme="minorHAnsi"/>
            <w:color w:val="0563C1"/>
            <w:kern w:val="2"/>
            <w:u w:val="single"/>
            <w14:ligatures w14:val="standardContextual"/>
          </w:rPr>
          <w:t>https://jitsuvax.info/search/</w:t>
        </w:r>
      </w:hyperlink>
      <w:r w:rsidRPr="00A769DC">
        <w:rPr>
          <w:rFonts w:asciiTheme="minorHAnsi" w:eastAsia="Calibri" w:hAnsiTheme="minorHAnsi" w:cstheme="minorHAnsi"/>
          <w:color w:val="auto"/>
          <w:kern w:val="2"/>
          <w14:ligatures w14:val="standardContextual"/>
        </w:rPr>
        <w:t xml:space="preserve"> </w:t>
      </w:r>
    </w:p>
    <w:p w14:paraId="3C46E3CE" w14:textId="77777777" w:rsidR="00A769DC" w:rsidRPr="00A769DC" w:rsidRDefault="00A769DC" w:rsidP="00A769DC">
      <w:pPr>
        <w:numPr>
          <w:ilvl w:val="0"/>
          <w:numId w:val="4"/>
        </w:numPr>
        <w:spacing w:after="0" w:line="276" w:lineRule="auto"/>
        <w:contextualSpacing/>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lastRenderedPageBreak/>
        <w:t>A short compendium of other resources for common concerns are at the bottom of this document.</w:t>
      </w:r>
    </w:p>
    <w:p w14:paraId="069E1DC5" w14:textId="77777777" w:rsidR="00A769DC" w:rsidRPr="00A769DC" w:rsidRDefault="00A769DC" w:rsidP="00A769DC">
      <w:pPr>
        <w:spacing w:after="0" w:line="276" w:lineRule="auto"/>
        <w:textboxTightWrap w:val="none"/>
        <w:rPr>
          <w:rFonts w:ascii="Times New Roman" w:eastAsia="Calibri" w:hAnsi="Times New Roman"/>
          <w:color w:val="auto"/>
          <w:kern w:val="2"/>
          <w:u w:val="single"/>
          <w14:ligatures w14:val="standardContextual"/>
        </w:rPr>
      </w:pPr>
    </w:p>
    <w:p w14:paraId="7AE8D06D" w14:textId="77777777" w:rsidR="00A769DC" w:rsidRPr="00224D32" w:rsidRDefault="00A769DC" w:rsidP="00224D32">
      <w:pPr>
        <w:pStyle w:val="Heading3"/>
        <w:rPr>
          <w:rFonts w:ascii="Times New Roman" w:eastAsia="Calibri" w:hAnsi="Times New Roman"/>
          <w:color w:val="auto"/>
          <w:kern w:val="2"/>
          <w:u w:val="single"/>
        </w:rPr>
      </w:pPr>
      <w:r w:rsidRPr="00A769DC">
        <w:rPr>
          <w:rFonts w:eastAsia="Calibri"/>
        </w:rPr>
        <w:t>Conversation examples</w:t>
      </w:r>
    </w:p>
    <w:p w14:paraId="5090D8D6" w14:textId="77777777" w:rsidR="00A769DC" w:rsidRPr="00A769DC" w:rsidRDefault="00A769DC" w:rsidP="00A769DC">
      <w:pPr>
        <w:spacing w:after="0" w:line="276" w:lineRule="auto"/>
        <w:textboxTightWrap w:val="none"/>
        <w:rPr>
          <w:rFonts w:asciiTheme="minorHAnsi" w:eastAsia="Calibri" w:hAnsiTheme="minorHAnsi" w:cstheme="minorHAnsi"/>
          <w:i/>
          <w:iCs/>
          <w:color w:val="auto"/>
          <w:kern w:val="2"/>
          <w14:ligatures w14:val="standardContextual"/>
        </w:rPr>
      </w:pPr>
      <w:r w:rsidRPr="00A769DC">
        <w:rPr>
          <w:rFonts w:asciiTheme="minorHAnsi" w:eastAsia="Calibri" w:hAnsiTheme="minorHAnsi" w:cstheme="minorHAnsi"/>
          <w:i/>
          <w:iCs/>
          <w:color w:val="auto"/>
          <w:kern w:val="2"/>
          <w14:ligatures w14:val="standardContextual"/>
        </w:rPr>
        <w:t>Opening:</w:t>
      </w:r>
    </w:p>
    <w:p w14:paraId="5FDB71AB" w14:textId="77777777" w:rsidR="00A769DC" w:rsidRPr="00A769DC" w:rsidRDefault="00A769DC" w:rsidP="00A769DC">
      <w:pPr>
        <w:spacing w:after="0" w:line="276" w:lineRule="auto"/>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 xml:space="preserve">I’m [name] from [GP practice], I’m calling about healthcare provision for [child’s name]. We’ve been concerned lately that we’re seeing more cases of measles in the local area and want to make sure [child] has the best protection available against it. </w:t>
      </w:r>
    </w:p>
    <w:p w14:paraId="00A4847E" w14:textId="77777777" w:rsidR="00A769DC" w:rsidRPr="00A769DC" w:rsidRDefault="00A769DC" w:rsidP="00A769DC">
      <w:pPr>
        <w:spacing w:after="0" w:line="276" w:lineRule="auto"/>
        <w:textboxTightWrap w:val="none"/>
        <w:rPr>
          <w:rFonts w:asciiTheme="minorHAnsi" w:eastAsia="Calibri" w:hAnsiTheme="minorHAnsi" w:cstheme="minorHAnsi"/>
          <w:color w:val="auto"/>
          <w:kern w:val="2"/>
          <w14:ligatures w14:val="standardContextual"/>
        </w:rPr>
      </w:pPr>
    </w:p>
    <w:p w14:paraId="427B814F" w14:textId="77777777" w:rsidR="00A769DC" w:rsidRPr="00A769DC" w:rsidRDefault="00A769DC" w:rsidP="00A769DC">
      <w:pPr>
        <w:spacing w:after="0" w:line="276" w:lineRule="auto"/>
        <w:textboxTightWrap w:val="none"/>
        <w:rPr>
          <w:rFonts w:asciiTheme="minorHAnsi" w:eastAsia="Calibri" w:hAnsiTheme="minorHAnsi" w:cstheme="minorHAnsi"/>
          <w:i/>
          <w:iCs/>
          <w:color w:val="auto"/>
          <w:kern w:val="2"/>
          <w14:ligatures w14:val="standardContextual"/>
        </w:rPr>
      </w:pPr>
      <w:r w:rsidRPr="00A769DC">
        <w:rPr>
          <w:rFonts w:asciiTheme="minorHAnsi" w:eastAsia="Calibri" w:hAnsiTheme="minorHAnsi" w:cstheme="minorHAnsi"/>
          <w:i/>
          <w:iCs/>
          <w:color w:val="auto"/>
          <w:kern w:val="2"/>
          <w14:ligatures w14:val="standardContextual"/>
        </w:rPr>
        <w:t xml:space="preserve">Offering immunisation: </w:t>
      </w:r>
    </w:p>
    <w:p w14:paraId="171C7BA2" w14:textId="77777777" w:rsidR="00A769DC" w:rsidRPr="00A769DC" w:rsidRDefault="00A769DC" w:rsidP="00A769DC">
      <w:pPr>
        <w:spacing w:after="0" w:line="276" w:lineRule="auto"/>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 xml:space="preserve">I’d like to offer you an appointment to immunise [child] against measles. What would be the best way to arrange this for you? </w:t>
      </w:r>
    </w:p>
    <w:p w14:paraId="3ABFC32E" w14:textId="77777777" w:rsidR="00A769DC" w:rsidRPr="00A769DC" w:rsidRDefault="00A769DC" w:rsidP="00A769DC">
      <w:pPr>
        <w:spacing w:after="0" w:line="276" w:lineRule="auto"/>
        <w:textboxTightWrap w:val="none"/>
        <w:rPr>
          <w:rFonts w:asciiTheme="minorHAnsi" w:eastAsia="Calibri" w:hAnsiTheme="minorHAnsi" w:cstheme="minorHAnsi"/>
          <w:color w:val="auto"/>
          <w:kern w:val="2"/>
          <w14:ligatures w14:val="standardContextual"/>
        </w:rPr>
      </w:pPr>
    </w:p>
    <w:p w14:paraId="69AF8091" w14:textId="77777777" w:rsidR="00A769DC" w:rsidRPr="00A769DC" w:rsidRDefault="00A769DC" w:rsidP="00A769DC">
      <w:pPr>
        <w:spacing w:after="0" w:line="276" w:lineRule="auto"/>
        <w:textboxTightWrap w:val="none"/>
        <w:rPr>
          <w:rFonts w:asciiTheme="minorHAnsi" w:eastAsia="Calibri" w:hAnsiTheme="minorHAnsi" w:cstheme="minorHAnsi"/>
          <w:i/>
          <w:iCs/>
          <w:color w:val="auto"/>
          <w:kern w:val="2"/>
          <w14:ligatures w14:val="standardContextual"/>
        </w:rPr>
      </w:pPr>
      <w:r w:rsidRPr="00A769DC">
        <w:rPr>
          <w:rFonts w:asciiTheme="minorHAnsi" w:eastAsia="Calibri" w:hAnsiTheme="minorHAnsi" w:cstheme="minorHAnsi"/>
          <w:i/>
          <w:iCs/>
          <w:color w:val="auto"/>
          <w:kern w:val="2"/>
          <w14:ligatures w14:val="standardContextual"/>
        </w:rPr>
        <w:t>Leaving a message:</w:t>
      </w:r>
    </w:p>
    <w:p w14:paraId="0CE4381C" w14:textId="77777777" w:rsidR="00A769DC" w:rsidRPr="00A769DC" w:rsidRDefault="00A769DC" w:rsidP="00A769DC">
      <w:pPr>
        <w:spacing w:after="0" w:line="276" w:lineRule="auto"/>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 xml:space="preserve">Please can you call us back? I’d like to speak with you what we’re offering for [child]. </w:t>
      </w:r>
    </w:p>
    <w:p w14:paraId="2A494032" w14:textId="77777777" w:rsidR="00A769DC" w:rsidRPr="00A769DC" w:rsidRDefault="00A769DC" w:rsidP="00A769DC">
      <w:pPr>
        <w:spacing w:after="0" w:line="276" w:lineRule="auto"/>
        <w:textboxTightWrap w:val="none"/>
        <w:rPr>
          <w:rFonts w:asciiTheme="minorHAnsi" w:eastAsia="Calibri" w:hAnsiTheme="minorHAnsi" w:cstheme="minorHAnsi"/>
          <w:color w:val="auto"/>
          <w:kern w:val="2"/>
          <w14:ligatures w14:val="standardContextual"/>
        </w:rPr>
      </w:pPr>
    </w:p>
    <w:p w14:paraId="57309694" w14:textId="77777777" w:rsidR="00A769DC" w:rsidRPr="00A769DC" w:rsidRDefault="00A769DC" w:rsidP="00A769DC">
      <w:pPr>
        <w:spacing w:after="0" w:line="276" w:lineRule="auto"/>
        <w:textboxTightWrap w:val="none"/>
        <w:rPr>
          <w:rFonts w:asciiTheme="minorHAnsi" w:eastAsia="Calibri" w:hAnsiTheme="minorHAnsi" w:cstheme="minorHAnsi"/>
          <w:i/>
          <w:iCs/>
          <w:color w:val="auto"/>
          <w:kern w:val="2"/>
          <w14:ligatures w14:val="standardContextual"/>
        </w:rPr>
      </w:pPr>
      <w:r w:rsidRPr="00A769DC">
        <w:rPr>
          <w:rFonts w:asciiTheme="minorHAnsi" w:eastAsia="Calibri" w:hAnsiTheme="minorHAnsi" w:cstheme="minorHAnsi"/>
          <w:i/>
          <w:iCs/>
          <w:color w:val="auto"/>
          <w:kern w:val="2"/>
          <w14:ligatures w14:val="standardContextual"/>
        </w:rPr>
        <w:t>During conversation:</w:t>
      </w:r>
    </w:p>
    <w:p w14:paraId="7E0D927D" w14:textId="77777777" w:rsidR="00A769DC" w:rsidRPr="00A769DC" w:rsidRDefault="00A769DC" w:rsidP="00A769DC">
      <w:pPr>
        <w:spacing w:after="0" w:line="276" w:lineRule="auto"/>
        <w:textboxTightWrap w:val="none"/>
        <w:rPr>
          <w:rFonts w:asciiTheme="minorHAnsi" w:eastAsia="Calibri" w:hAnsiTheme="minorHAnsi" w:cstheme="minorHAnsi"/>
          <w:color w:val="auto"/>
          <w:kern w:val="2"/>
          <w14:ligatures w14:val="standardContextual"/>
        </w:rPr>
      </w:pPr>
      <w:r w:rsidRPr="00A769DC">
        <w:rPr>
          <w:rFonts w:asciiTheme="minorHAnsi" w:eastAsia="Calibri" w:hAnsiTheme="minorHAnsi" w:cstheme="minorHAnsi"/>
          <w:color w:val="auto"/>
          <w:kern w:val="2"/>
          <w14:ligatures w14:val="standardContextual"/>
        </w:rPr>
        <w:t xml:space="preserve">It sounds like you’d like to know more about the vaccine, that’s really great. What information would be helpful for you to make your decision for [child]? </w:t>
      </w:r>
    </w:p>
    <w:p w14:paraId="69B9C6BC" w14:textId="77777777" w:rsidR="00A769DC" w:rsidRPr="00A769DC" w:rsidRDefault="00A769DC" w:rsidP="00A769DC">
      <w:pPr>
        <w:spacing w:after="0" w:line="276" w:lineRule="auto"/>
        <w:textboxTightWrap w:val="none"/>
        <w:rPr>
          <w:rFonts w:ascii="Times New Roman" w:eastAsia="Calibri" w:hAnsi="Times New Roman"/>
          <w:color w:val="auto"/>
          <w:kern w:val="2"/>
          <w14:ligatures w14:val="standardContextual"/>
        </w:rPr>
      </w:pPr>
    </w:p>
    <w:p w14:paraId="170A07EB" w14:textId="77777777" w:rsidR="00A769DC" w:rsidRPr="000B68FE" w:rsidRDefault="00A769DC" w:rsidP="000B68FE">
      <w:pPr>
        <w:pStyle w:val="Heading2"/>
        <w:rPr>
          <w:rFonts w:ascii="Arial" w:hAnsi="Arial"/>
          <w:color w:val="000000"/>
          <w:kern w:val="36"/>
          <w:sz w:val="40"/>
          <w:szCs w:val="40"/>
          <w:lang w:eastAsia="en-GB"/>
        </w:rPr>
      </w:pPr>
      <w:r w:rsidRPr="00A769DC">
        <w:rPr>
          <w:lang w:eastAsia="en-GB"/>
        </w:rPr>
        <w:t>MMR Facts</w:t>
      </w:r>
    </w:p>
    <w:p w14:paraId="76DE923E" w14:textId="77777777" w:rsidR="00A769DC" w:rsidRPr="00A769DC" w:rsidRDefault="00A769DC" w:rsidP="000B68FE">
      <w:pPr>
        <w:pStyle w:val="Heading3"/>
        <w:rPr>
          <w:rFonts w:ascii="Times New Roman" w:hAnsi="Times New Roman"/>
          <w:bCs/>
          <w:color w:val="auto"/>
          <w:sz w:val="36"/>
          <w:szCs w:val="36"/>
          <w:lang w:eastAsia="en-GB"/>
        </w:rPr>
      </w:pPr>
      <w:r w:rsidRPr="00A769DC">
        <w:rPr>
          <w:lang w:eastAsia="en-GB"/>
        </w:rPr>
        <w:t>Standard information </w:t>
      </w:r>
    </w:p>
    <w:p w14:paraId="539D467D" w14:textId="77777777" w:rsidR="00A769DC" w:rsidRPr="00A769DC" w:rsidRDefault="00A769DC" w:rsidP="00A769DC">
      <w:pPr>
        <w:numPr>
          <w:ilvl w:val="0"/>
          <w:numId w:val="5"/>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(NHS &amp; UKHSA; available in different languages too): </w:t>
      </w:r>
      <w:hyperlink r:id="rId12" w:history="1">
        <w:r w:rsidRPr="00A769DC">
          <w:rPr>
            <w:rFonts w:cs="Arial"/>
            <w:color w:val="1155CC"/>
            <w:sz w:val="22"/>
            <w:szCs w:val="22"/>
            <w:u w:val="single"/>
            <w:lang w:eastAsia="en-GB"/>
          </w:rPr>
          <w:t>https://www.gov.uk/government/publications/mmr-for-all-general-leaflet</w:t>
        </w:r>
      </w:hyperlink>
      <w:r w:rsidRPr="00A769DC">
        <w:rPr>
          <w:rFonts w:cs="Arial"/>
          <w:color w:val="000000"/>
          <w:sz w:val="22"/>
          <w:szCs w:val="22"/>
          <w:lang w:eastAsia="en-GB"/>
        </w:rPr>
        <w:t> </w:t>
      </w:r>
    </w:p>
    <w:p w14:paraId="53A60DE3" w14:textId="77777777" w:rsidR="00A769DC" w:rsidRPr="00A769DC" w:rsidRDefault="00A769DC" w:rsidP="00A769DC">
      <w:pPr>
        <w:numPr>
          <w:ilvl w:val="0"/>
          <w:numId w:val="5"/>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Oxford Vaccine Knowledge Project (lots of facts, could be heavy reading): </w:t>
      </w:r>
      <w:hyperlink r:id="rId13" w:anchor="Is-the-vaccine-safe" w:history="1">
        <w:r w:rsidRPr="00A769DC">
          <w:rPr>
            <w:rFonts w:cs="Arial"/>
            <w:color w:val="1155CC"/>
            <w:sz w:val="22"/>
            <w:szCs w:val="22"/>
            <w:u w:val="single"/>
            <w:lang w:eastAsia="en-GB"/>
          </w:rPr>
          <w:t>https://vk.ovg.ox.ac.uk/mmr-vaccine</w:t>
        </w:r>
      </w:hyperlink>
    </w:p>
    <w:p w14:paraId="246FAD8F" w14:textId="77777777" w:rsidR="00A769DC" w:rsidRPr="00A769DC" w:rsidRDefault="00A769DC" w:rsidP="000B68FE">
      <w:pPr>
        <w:pStyle w:val="Heading3"/>
        <w:rPr>
          <w:rFonts w:ascii="Times New Roman" w:hAnsi="Times New Roman"/>
          <w:bCs/>
          <w:color w:val="auto"/>
          <w:sz w:val="36"/>
          <w:szCs w:val="36"/>
          <w:lang w:eastAsia="en-GB"/>
        </w:rPr>
      </w:pPr>
      <w:r w:rsidRPr="00A769DC">
        <w:rPr>
          <w:lang w:eastAsia="en-GB"/>
        </w:rPr>
        <w:t>Misconceptions, debunked</w:t>
      </w:r>
    </w:p>
    <w:p w14:paraId="6B621698" w14:textId="77777777" w:rsidR="00A769DC" w:rsidRPr="00A769DC" w:rsidRDefault="00A769DC" w:rsidP="00A769DC">
      <w:pPr>
        <w:spacing w:after="0" w:line="240" w:lineRule="auto"/>
        <w:textboxTightWrap w:val="none"/>
        <w:rPr>
          <w:rFonts w:ascii="Times New Roman" w:hAnsi="Times New Roman"/>
          <w:color w:val="auto"/>
          <w:lang w:eastAsia="en-GB"/>
        </w:rPr>
      </w:pPr>
      <w:r w:rsidRPr="00A769DC">
        <w:rPr>
          <w:rFonts w:cs="Arial"/>
          <w:i/>
          <w:iCs/>
          <w:color w:val="000000"/>
          <w:sz w:val="22"/>
          <w:szCs w:val="22"/>
          <w:lang w:eastAsia="en-GB"/>
        </w:rPr>
        <w:t>[can add specific concerns from data here, general structure presented]</w:t>
      </w:r>
    </w:p>
    <w:p w14:paraId="2D09C8A5" w14:textId="77777777" w:rsidR="00A769DC" w:rsidRPr="00A769DC" w:rsidRDefault="00A769DC" w:rsidP="00A769DC">
      <w:pPr>
        <w:spacing w:before="320" w:after="80" w:line="240" w:lineRule="auto"/>
        <w:textboxTightWrap w:val="none"/>
        <w:outlineLvl w:val="2"/>
        <w:rPr>
          <w:rFonts w:ascii="Times New Roman" w:hAnsi="Times New Roman"/>
          <w:b/>
          <w:bCs/>
          <w:color w:val="auto"/>
          <w:sz w:val="27"/>
          <w:szCs w:val="27"/>
          <w:lang w:eastAsia="en-GB"/>
        </w:rPr>
      </w:pPr>
      <w:r w:rsidRPr="00A769DC">
        <w:rPr>
          <w:rFonts w:cs="Arial"/>
          <w:color w:val="434343"/>
          <w:sz w:val="28"/>
          <w:szCs w:val="28"/>
          <w:lang w:eastAsia="en-GB"/>
        </w:rPr>
        <w:t>FACT: There is no link between autism and the MMR vaccine. </w:t>
      </w:r>
    </w:p>
    <w:p w14:paraId="6B632C7E" w14:textId="77777777" w:rsidR="00A769DC" w:rsidRPr="00A769DC" w:rsidRDefault="00A769DC" w:rsidP="00A769DC">
      <w:pPr>
        <w:numPr>
          <w:ilvl w:val="0"/>
          <w:numId w:val="6"/>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The Oxford Vaccine Knowledge Project has a dedicated section detailing the many studies done to evidence this: </w:t>
      </w:r>
      <w:hyperlink r:id="rId14" w:anchor="Is-the-vaccine-safe" w:history="1">
        <w:r w:rsidRPr="00A769DC">
          <w:rPr>
            <w:rFonts w:cs="Arial"/>
            <w:color w:val="1155CC"/>
            <w:sz w:val="22"/>
            <w:szCs w:val="22"/>
            <w:u w:val="single"/>
            <w:lang w:eastAsia="en-GB"/>
          </w:rPr>
          <w:t>https://vk.ovg.ox.ac.uk/mmr-vaccine#Is-the-vaccine-safe</w:t>
        </w:r>
      </w:hyperlink>
      <w:r w:rsidRPr="00A769DC">
        <w:rPr>
          <w:rFonts w:cs="Arial"/>
          <w:color w:val="000000"/>
          <w:sz w:val="22"/>
          <w:szCs w:val="22"/>
          <w:lang w:eastAsia="en-GB"/>
        </w:rPr>
        <w:t> </w:t>
      </w:r>
    </w:p>
    <w:p w14:paraId="56AED3B6" w14:textId="77777777" w:rsidR="00A769DC" w:rsidRPr="00A769DC" w:rsidRDefault="00A769DC" w:rsidP="000B68FE">
      <w:pPr>
        <w:pStyle w:val="Heading3"/>
        <w:rPr>
          <w:rFonts w:ascii="Times New Roman" w:hAnsi="Times New Roman"/>
          <w:bCs/>
          <w:color w:val="auto"/>
          <w:lang w:eastAsia="en-GB"/>
        </w:rPr>
      </w:pPr>
      <w:r w:rsidRPr="00A769DC">
        <w:rPr>
          <w:lang w:eastAsia="en-GB"/>
        </w:rPr>
        <w:t>Where does this belief come from? </w:t>
      </w:r>
    </w:p>
    <w:p w14:paraId="0BFCC35D" w14:textId="77777777" w:rsidR="00A769DC" w:rsidRPr="00A769DC" w:rsidRDefault="00A769DC" w:rsidP="00A769DC">
      <w:pPr>
        <w:numPr>
          <w:ilvl w:val="0"/>
          <w:numId w:val="7"/>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The belief is commonly traced to a 1998 scientific article that was later retracted when the lead author had engaged in research misconduct, had serious conflicts of interests (including profiting from publishing it), and fraud (</w:t>
      </w:r>
      <w:hyperlink r:id="rId15" w:history="1">
        <w:r w:rsidRPr="00A769DC">
          <w:rPr>
            <w:rFonts w:cs="Arial"/>
            <w:color w:val="1155CC"/>
            <w:sz w:val="22"/>
            <w:szCs w:val="22"/>
            <w:u w:val="single"/>
            <w:lang w:eastAsia="en-GB"/>
          </w:rPr>
          <w:t>https://www.bmj.com/content/342/bmj.c5347</w:t>
        </w:r>
      </w:hyperlink>
      <w:r w:rsidRPr="00A769DC">
        <w:rPr>
          <w:rFonts w:cs="Arial"/>
          <w:color w:val="000000"/>
          <w:sz w:val="22"/>
          <w:szCs w:val="22"/>
          <w:lang w:eastAsia="en-GB"/>
        </w:rPr>
        <w:t>) </w:t>
      </w:r>
    </w:p>
    <w:p w14:paraId="7ADF7CE1" w14:textId="77777777" w:rsidR="00A769DC" w:rsidRPr="00A769DC" w:rsidRDefault="00A769DC" w:rsidP="00A769DC">
      <w:pPr>
        <w:numPr>
          <w:ilvl w:val="0"/>
          <w:numId w:val="7"/>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Since then the disinformation has still spread. A lot of anti-vaccination content, including this, is put out by a few determined individuals who profit from this activity.</w:t>
      </w:r>
    </w:p>
    <w:p w14:paraId="6AC6C97C" w14:textId="77777777" w:rsidR="00A769DC" w:rsidRPr="00A769DC" w:rsidRDefault="00A769DC" w:rsidP="00A769DC">
      <w:pPr>
        <w:numPr>
          <w:ilvl w:val="1"/>
          <w:numId w:val="7"/>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lastRenderedPageBreak/>
        <w:t xml:space="preserve">CCDH report: “The Disinformation Dozen” </w:t>
      </w:r>
      <w:hyperlink r:id="rId16" w:history="1">
        <w:r w:rsidRPr="00A769DC">
          <w:rPr>
            <w:rFonts w:cs="Arial"/>
            <w:color w:val="1155CC"/>
            <w:sz w:val="22"/>
            <w:szCs w:val="22"/>
            <w:u w:val="single"/>
            <w:lang w:eastAsia="en-GB"/>
          </w:rPr>
          <w:t>https://counterhate.com/research/the-disinformation-dozen/</w:t>
        </w:r>
      </w:hyperlink>
      <w:r w:rsidRPr="00A769DC">
        <w:rPr>
          <w:rFonts w:cs="Arial"/>
          <w:color w:val="000000"/>
          <w:sz w:val="22"/>
          <w:szCs w:val="22"/>
          <w:lang w:eastAsia="en-GB"/>
        </w:rPr>
        <w:t> </w:t>
      </w:r>
    </w:p>
    <w:p w14:paraId="672C7CBA" w14:textId="77777777" w:rsidR="00A769DC" w:rsidRPr="00A769DC" w:rsidRDefault="00A769DC" w:rsidP="00A769DC">
      <w:pPr>
        <w:numPr>
          <w:ilvl w:val="1"/>
          <w:numId w:val="7"/>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CCDH report: “The anti-vaxx industry” </w:t>
      </w:r>
      <w:hyperlink r:id="rId17" w:history="1">
        <w:r w:rsidRPr="00A769DC">
          <w:rPr>
            <w:rFonts w:cs="Arial"/>
            <w:color w:val="1155CC"/>
            <w:sz w:val="22"/>
            <w:szCs w:val="22"/>
            <w:u w:val="single"/>
            <w:lang w:eastAsia="en-GB"/>
          </w:rPr>
          <w:t>https://counterhate.com/research/the-anti-vaxx-industry/</w:t>
        </w:r>
      </w:hyperlink>
      <w:r w:rsidRPr="00A769DC">
        <w:rPr>
          <w:rFonts w:cs="Arial"/>
          <w:color w:val="000000"/>
          <w:sz w:val="22"/>
          <w:szCs w:val="22"/>
          <w:lang w:eastAsia="en-GB"/>
        </w:rPr>
        <w:t> </w:t>
      </w:r>
    </w:p>
    <w:p w14:paraId="30B9CDF4" w14:textId="77777777" w:rsidR="00A769DC" w:rsidRPr="00A769DC" w:rsidRDefault="00A769DC" w:rsidP="000B68FE">
      <w:pPr>
        <w:pStyle w:val="Heading3"/>
        <w:rPr>
          <w:rFonts w:ascii="Times New Roman" w:hAnsi="Times New Roman"/>
          <w:bCs/>
          <w:color w:val="auto"/>
          <w:lang w:eastAsia="en-GB"/>
        </w:rPr>
      </w:pPr>
      <w:r w:rsidRPr="00A769DC">
        <w:rPr>
          <w:lang w:eastAsia="en-GB"/>
        </w:rPr>
        <w:t>Why is this belief compelling? </w:t>
      </w:r>
    </w:p>
    <w:p w14:paraId="631ED012" w14:textId="77777777" w:rsidR="00A769DC" w:rsidRPr="00A769DC" w:rsidRDefault="00A769DC" w:rsidP="00A769DC">
      <w:pPr>
        <w:numPr>
          <w:ilvl w:val="0"/>
          <w:numId w:val="8"/>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This narrative plays on people’s “attitude roots” of fear and the need to identify causality</w:t>
      </w:r>
    </w:p>
    <w:p w14:paraId="302138DA" w14:textId="77777777" w:rsidR="00A769DC" w:rsidRPr="00A769DC" w:rsidRDefault="00A769DC" w:rsidP="00A769DC">
      <w:pPr>
        <w:numPr>
          <w:ilvl w:val="1"/>
          <w:numId w:val="8"/>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Resource for understanding attitude roots and how they relate to vaccination concerns: </w:t>
      </w:r>
      <w:hyperlink r:id="rId18" w:history="1">
        <w:r w:rsidRPr="00A769DC">
          <w:rPr>
            <w:rFonts w:cs="Arial"/>
            <w:color w:val="1155CC"/>
            <w:sz w:val="22"/>
            <w:szCs w:val="22"/>
            <w:u w:val="single"/>
            <w:lang w:eastAsia="en-GB"/>
          </w:rPr>
          <w:t>https://jitsuvax.info</w:t>
        </w:r>
      </w:hyperlink>
      <w:r w:rsidRPr="00A769DC">
        <w:rPr>
          <w:rFonts w:cs="Arial"/>
          <w:color w:val="000000"/>
          <w:sz w:val="22"/>
          <w:szCs w:val="22"/>
          <w:lang w:eastAsia="en-GB"/>
        </w:rPr>
        <w:t> </w:t>
      </w:r>
    </w:p>
    <w:p w14:paraId="058ED5C5" w14:textId="77777777" w:rsidR="00A769DC" w:rsidRPr="00A769DC" w:rsidRDefault="00A769DC" w:rsidP="00A769DC">
      <w:pPr>
        <w:numPr>
          <w:ilvl w:val="2"/>
          <w:numId w:val="8"/>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Fear: </w:t>
      </w:r>
      <w:hyperlink r:id="rId19" w:history="1">
        <w:r w:rsidRPr="00A769DC">
          <w:rPr>
            <w:rFonts w:cs="Arial"/>
            <w:color w:val="1155CC"/>
            <w:sz w:val="22"/>
            <w:szCs w:val="22"/>
            <w:u w:val="single"/>
            <w:lang w:eastAsia="en-GB"/>
          </w:rPr>
          <w:t>https://jitsuvax.info/fear-and-phobias/dreadful-injuries/</w:t>
        </w:r>
      </w:hyperlink>
    </w:p>
    <w:p w14:paraId="53ABA07C" w14:textId="77777777" w:rsidR="00A769DC" w:rsidRPr="00A769DC" w:rsidRDefault="00A769DC" w:rsidP="00A769DC">
      <w:pPr>
        <w:numPr>
          <w:ilvl w:val="2"/>
          <w:numId w:val="8"/>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Causality: </w:t>
      </w:r>
      <w:hyperlink r:id="rId20" w:history="1">
        <w:r w:rsidRPr="00A769DC">
          <w:rPr>
            <w:rFonts w:cs="Arial"/>
            <w:color w:val="1155CC"/>
            <w:sz w:val="22"/>
            <w:szCs w:val="22"/>
            <w:u w:val="single"/>
            <w:lang w:eastAsia="en-GB"/>
          </w:rPr>
          <w:t>https://jitsuvax.info/unwarranted-beliefs/absurd-causality/</w:t>
        </w:r>
      </w:hyperlink>
      <w:r w:rsidRPr="00A769DC">
        <w:rPr>
          <w:rFonts w:cs="Arial"/>
          <w:color w:val="000000"/>
          <w:sz w:val="22"/>
          <w:szCs w:val="22"/>
          <w:lang w:eastAsia="en-GB"/>
        </w:rPr>
        <w:t> </w:t>
      </w:r>
    </w:p>
    <w:p w14:paraId="7A389E8B" w14:textId="77777777" w:rsidR="00A769DC" w:rsidRPr="00A769DC" w:rsidRDefault="00A769DC" w:rsidP="00A769DC">
      <w:pPr>
        <w:numPr>
          <w:ilvl w:val="0"/>
          <w:numId w:val="8"/>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There may also be an element of distrust if we think our community is being targeted</w:t>
      </w:r>
    </w:p>
    <w:p w14:paraId="6927311B" w14:textId="77777777" w:rsidR="00A769DC" w:rsidRPr="00A769DC" w:rsidRDefault="00A769DC" w:rsidP="00A769DC">
      <w:pPr>
        <w:numPr>
          <w:ilvl w:val="1"/>
          <w:numId w:val="8"/>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If autism </w:t>
      </w:r>
      <w:r w:rsidRPr="00A769DC">
        <w:rPr>
          <w:rFonts w:cs="Arial"/>
          <w:i/>
          <w:iCs/>
          <w:color w:val="000000"/>
          <w:sz w:val="22"/>
          <w:szCs w:val="22"/>
          <w:lang w:eastAsia="en-GB"/>
        </w:rPr>
        <w:t xml:space="preserve">seems </w:t>
      </w:r>
      <w:r w:rsidRPr="00A769DC">
        <w:rPr>
          <w:rFonts w:cs="Arial"/>
          <w:color w:val="000000"/>
          <w:sz w:val="22"/>
          <w:szCs w:val="22"/>
          <w:lang w:eastAsia="en-GB"/>
        </w:rPr>
        <w:t>to be higher in our community, we naturally wonder if something is causing it (</w:t>
      </w:r>
      <w:hyperlink r:id="rId21" w:history="1">
        <w:r w:rsidRPr="00A769DC">
          <w:rPr>
            <w:rFonts w:cs="Arial"/>
            <w:color w:val="1155CC"/>
            <w:sz w:val="22"/>
            <w:szCs w:val="22"/>
            <w:u w:val="single"/>
            <w:lang w:eastAsia="en-GB"/>
          </w:rPr>
          <w:t>Autism Research Centre at Cambridge</w:t>
        </w:r>
      </w:hyperlink>
      <w:r w:rsidRPr="00A769DC">
        <w:rPr>
          <w:rFonts w:cs="Arial"/>
          <w:color w:val="000000"/>
          <w:sz w:val="22"/>
          <w:szCs w:val="22"/>
          <w:lang w:eastAsia="en-GB"/>
        </w:rPr>
        <w:t xml:space="preserve"> looks into autism prevalence in their research) - </w:t>
      </w:r>
      <w:r w:rsidRPr="00A769DC">
        <w:rPr>
          <w:rFonts w:cs="Arial"/>
          <w:i/>
          <w:iCs/>
          <w:color w:val="000000"/>
          <w:sz w:val="22"/>
          <w:szCs w:val="22"/>
          <w:lang w:eastAsia="en-GB"/>
        </w:rPr>
        <w:t>it’s worth asking what people perceive in their communities, though!</w:t>
      </w:r>
    </w:p>
    <w:p w14:paraId="1F93C755" w14:textId="77777777" w:rsidR="00A769DC" w:rsidRPr="00A769DC" w:rsidRDefault="00A769DC" w:rsidP="00A769DC">
      <w:pPr>
        <w:numPr>
          <w:ilvl w:val="1"/>
          <w:numId w:val="8"/>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It’s natural to wonder about vaccination alongside other reasons (e.g., social disadvantage, discrimination resulting in wrong diagnoses, underdiagnoses,</w:t>
      </w:r>
    </w:p>
    <w:p w14:paraId="0352B849" w14:textId="77777777" w:rsidR="00A769DC" w:rsidRPr="00A769DC" w:rsidRDefault="00A769DC" w:rsidP="00A769DC">
      <w:pPr>
        <w:spacing w:after="160" w:line="259" w:lineRule="auto"/>
        <w:textboxTightWrap w:val="none"/>
        <w:rPr>
          <w:rFonts w:ascii="Times New Roman" w:eastAsia="Calibri" w:hAnsi="Times New Roman"/>
          <w:color w:val="auto"/>
          <w:kern w:val="2"/>
          <w14:ligatures w14:val="standardContextual"/>
        </w:rPr>
      </w:pPr>
    </w:p>
    <w:p w14:paraId="17748909" w14:textId="77777777" w:rsidR="00A769DC" w:rsidRPr="000B68FE" w:rsidRDefault="00A769DC" w:rsidP="000B68FE">
      <w:pPr>
        <w:pStyle w:val="Heading2"/>
        <w:rPr>
          <w:rFonts w:ascii="Arial" w:hAnsi="Arial"/>
          <w:color w:val="000000"/>
          <w:kern w:val="36"/>
          <w:sz w:val="40"/>
          <w:szCs w:val="40"/>
          <w:lang w:eastAsia="en-GB"/>
        </w:rPr>
      </w:pPr>
      <w:r w:rsidRPr="00A769DC">
        <w:rPr>
          <w:lang w:eastAsia="en-GB"/>
        </w:rPr>
        <w:t>Vaccination and discrimination</w:t>
      </w:r>
    </w:p>
    <w:p w14:paraId="6CB9E0CE" w14:textId="77777777" w:rsidR="00A769DC" w:rsidRPr="00A769DC" w:rsidRDefault="00A769DC" w:rsidP="000B68FE">
      <w:pPr>
        <w:pStyle w:val="Heading3"/>
        <w:rPr>
          <w:rFonts w:ascii="Times New Roman" w:hAnsi="Times New Roman"/>
          <w:bCs/>
          <w:color w:val="auto"/>
          <w:sz w:val="36"/>
          <w:szCs w:val="36"/>
          <w:lang w:eastAsia="en-GB"/>
        </w:rPr>
      </w:pPr>
      <w:r w:rsidRPr="00A769DC">
        <w:rPr>
          <w:lang w:eastAsia="en-GB"/>
        </w:rPr>
        <w:t>Roots of this concern (what we need to acknowledge…)</w:t>
      </w:r>
    </w:p>
    <w:p w14:paraId="31F23B11" w14:textId="77777777" w:rsidR="00A769DC" w:rsidRPr="00A769DC" w:rsidRDefault="00A769DC" w:rsidP="00A769DC">
      <w:pPr>
        <w:numPr>
          <w:ilvl w:val="0"/>
          <w:numId w:val="9"/>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Historical misuse of power can and has generated distrust in medical authorities. The “attitude root” distrust is explained more here: </w:t>
      </w:r>
      <w:hyperlink r:id="rId22" w:history="1">
        <w:r w:rsidRPr="00A769DC">
          <w:rPr>
            <w:rFonts w:cs="Arial"/>
            <w:color w:val="1155CC"/>
            <w:sz w:val="22"/>
            <w:szCs w:val="22"/>
            <w:u w:val="single"/>
            <w:lang w:eastAsia="en-GB"/>
          </w:rPr>
          <w:t>https://jitsuvax.info/distrust/marginalised-groups/</w:t>
        </w:r>
      </w:hyperlink>
      <w:r w:rsidRPr="00A769DC">
        <w:rPr>
          <w:rFonts w:cs="Arial"/>
          <w:color w:val="000000"/>
          <w:sz w:val="22"/>
          <w:szCs w:val="22"/>
          <w:lang w:eastAsia="en-GB"/>
        </w:rPr>
        <w:t> </w:t>
      </w:r>
    </w:p>
    <w:p w14:paraId="34D0DB4F" w14:textId="77777777" w:rsidR="00A769DC" w:rsidRPr="00A769DC" w:rsidRDefault="00A769DC" w:rsidP="00A769DC">
      <w:pPr>
        <w:numPr>
          <w:ilvl w:val="0"/>
          <w:numId w:val="9"/>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Tuskegee Study: </w:t>
      </w:r>
      <w:hyperlink r:id="rId23" w:history="1">
        <w:r w:rsidRPr="00A769DC">
          <w:rPr>
            <w:rFonts w:cs="Arial"/>
            <w:color w:val="1155CC"/>
            <w:sz w:val="22"/>
            <w:szCs w:val="22"/>
            <w:u w:val="single"/>
            <w:lang w:eastAsia="en-GB"/>
          </w:rPr>
          <w:t>https://www.cdc.gov/tuskegee/timeline.htm</w:t>
        </w:r>
      </w:hyperlink>
      <w:r w:rsidRPr="00A769DC">
        <w:rPr>
          <w:rFonts w:cs="Arial"/>
          <w:color w:val="000000"/>
          <w:sz w:val="22"/>
          <w:szCs w:val="22"/>
          <w:lang w:eastAsia="en-GB"/>
        </w:rPr>
        <w:t> </w:t>
      </w:r>
    </w:p>
    <w:p w14:paraId="4B7A4143" w14:textId="77777777" w:rsidR="00A769DC" w:rsidRPr="00A769DC" w:rsidRDefault="00A769DC" w:rsidP="00A769DC">
      <w:pPr>
        <w:numPr>
          <w:ilvl w:val="0"/>
          <w:numId w:val="9"/>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Overview of other instances of discrimination that fuel distrust: </w:t>
      </w:r>
      <w:hyperlink r:id="rId24" w:anchor="Discriminatory-practices-in-healthcare" w:history="1">
        <w:r w:rsidRPr="00A769DC">
          <w:rPr>
            <w:rFonts w:cs="Arial"/>
            <w:color w:val="1155CC"/>
            <w:sz w:val="22"/>
            <w:szCs w:val="22"/>
            <w:u w:val="single"/>
            <w:lang w:eastAsia="en-GB"/>
          </w:rPr>
          <w:t>https://c19vax.scibeh.org/pages/vaxculture#Discriminatory-practices-in-healthcare</w:t>
        </w:r>
      </w:hyperlink>
      <w:r w:rsidRPr="00A769DC">
        <w:rPr>
          <w:rFonts w:cs="Arial"/>
          <w:color w:val="000000"/>
          <w:sz w:val="22"/>
          <w:szCs w:val="22"/>
          <w:lang w:eastAsia="en-GB"/>
        </w:rPr>
        <w:t> </w:t>
      </w:r>
    </w:p>
    <w:p w14:paraId="2C267FD5" w14:textId="77777777" w:rsidR="00A769DC" w:rsidRPr="00A769DC" w:rsidRDefault="00A769DC" w:rsidP="000B68FE">
      <w:pPr>
        <w:pStyle w:val="Heading3"/>
        <w:rPr>
          <w:rFonts w:ascii="Times New Roman" w:hAnsi="Times New Roman"/>
          <w:bCs/>
          <w:color w:val="auto"/>
          <w:sz w:val="36"/>
          <w:szCs w:val="36"/>
          <w:lang w:eastAsia="en-GB"/>
        </w:rPr>
      </w:pPr>
      <w:r w:rsidRPr="00A769DC">
        <w:rPr>
          <w:lang w:eastAsia="en-GB"/>
        </w:rPr>
        <w:t>Dealing with the concern: vaccination as an equity issue</w:t>
      </w:r>
    </w:p>
    <w:p w14:paraId="5C02D5B6" w14:textId="77777777" w:rsidR="00A769DC" w:rsidRPr="00A769DC" w:rsidRDefault="00A769DC" w:rsidP="00A769DC">
      <w:pPr>
        <w:numPr>
          <w:ilvl w:val="0"/>
          <w:numId w:val="10"/>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Unequal burden of disease: (global example with covid-19) </w:t>
      </w:r>
      <w:hyperlink r:id="rId25" w:history="1">
        <w:r w:rsidRPr="00A769DC">
          <w:rPr>
            <w:rFonts w:cs="Arial"/>
            <w:color w:val="1155CC"/>
            <w:sz w:val="22"/>
            <w:szCs w:val="22"/>
            <w:u w:val="single"/>
            <w:lang w:eastAsia="en-GB"/>
          </w:rPr>
          <w:t>https://c19vax.scibeh.org/pages/vaxequity</w:t>
        </w:r>
      </w:hyperlink>
      <w:r w:rsidRPr="00A769DC">
        <w:rPr>
          <w:rFonts w:cs="Arial"/>
          <w:color w:val="000000"/>
          <w:sz w:val="22"/>
          <w:szCs w:val="22"/>
          <w:lang w:eastAsia="en-GB"/>
        </w:rPr>
        <w:t> </w:t>
      </w:r>
    </w:p>
    <w:p w14:paraId="73CD7DF5" w14:textId="77777777" w:rsidR="00A769DC" w:rsidRPr="00A769DC" w:rsidRDefault="00A769DC" w:rsidP="000B68FE">
      <w:pPr>
        <w:numPr>
          <w:ilvl w:val="0"/>
          <w:numId w:val="10"/>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Communities are unequally harmed by disease outbreaks. Those with less resources carry higher burdens (this was studied in Liverpool: </w:t>
      </w:r>
      <w:hyperlink r:id="rId26" w:history="1">
        <w:r w:rsidRPr="00A769DC">
          <w:rPr>
            <w:rFonts w:cs="Arial"/>
            <w:color w:val="1155CC"/>
            <w:sz w:val="22"/>
            <w:szCs w:val="22"/>
            <w:u w:val="single"/>
            <w:lang w:eastAsia="en-GB"/>
          </w:rPr>
          <w:t>https://bmjopen.bmj.com/content/7/3/e014106</w:t>
        </w:r>
      </w:hyperlink>
      <w:r w:rsidRPr="00A769DC">
        <w:rPr>
          <w:rFonts w:cs="Arial"/>
          <w:color w:val="000000"/>
          <w:sz w:val="22"/>
          <w:szCs w:val="22"/>
          <w:lang w:eastAsia="en-GB"/>
        </w:rPr>
        <w:t>) </w:t>
      </w:r>
    </w:p>
    <w:p w14:paraId="2D660DDA" w14:textId="77777777" w:rsidR="00A769DC" w:rsidRPr="00A769DC" w:rsidRDefault="00A769DC" w:rsidP="000B68FE">
      <w:pPr>
        <w:pStyle w:val="Heading2"/>
        <w:rPr>
          <w:rFonts w:ascii="Times New Roman" w:hAnsi="Times New Roman"/>
          <w:bCs/>
          <w:color w:val="auto"/>
          <w:sz w:val="48"/>
          <w:szCs w:val="48"/>
          <w:lang w:eastAsia="en-GB"/>
        </w:rPr>
      </w:pPr>
      <w:r w:rsidRPr="00A769DC">
        <w:rPr>
          <w:lang w:eastAsia="en-GB"/>
        </w:rPr>
        <w:t>Infectiousness and herd immunity</w:t>
      </w:r>
    </w:p>
    <w:p w14:paraId="3F2E22C3" w14:textId="77777777" w:rsidR="00A769DC" w:rsidRPr="00A769DC" w:rsidRDefault="00A769DC" w:rsidP="000B68FE">
      <w:pPr>
        <w:pStyle w:val="Heading3"/>
        <w:rPr>
          <w:rFonts w:ascii="Times New Roman" w:hAnsi="Times New Roman"/>
          <w:bCs/>
          <w:color w:val="auto"/>
          <w:sz w:val="36"/>
          <w:szCs w:val="36"/>
          <w:lang w:eastAsia="en-GB"/>
        </w:rPr>
      </w:pPr>
      <w:r w:rsidRPr="00A769DC">
        <w:rPr>
          <w:lang w:eastAsia="en-GB"/>
        </w:rPr>
        <w:t>Explaining herd immunity in general</w:t>
      </w:r>
    </w:p>
    <w:p w14:paraId="67F86004" w14:textId="77777777" w:rsidR="00A769DC" w:rsidRPr="00A769DC" w:rsidRDefault="00A769DC" w:rsidP="00A769DC">
      <w:pPr>
        <w:numPr>
          <w:ilvl w:val="0"/>
          <w:numId w:val="11"/>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British Immunology Society - some basic infographics, guides, and videos about the general concept: </w:t>
      </w:r>
    </w:p>
    <w:p w14:paraId="3E8856BD" w14:textId="77777777" w:rsidR="00A769DC" w:rsidRPr="00A769DC" w:rsidRDefault="00406944" w:rsidP="00A769DC">
      <w:pPr>
        <w:numPr>
          <w:ilvl w:val="1"/>
          <w:numId w:val="11"/>
        </w:numPr>
        <w:spacing w:after="0" w:line="240" w:lineRule="auto"/>
        <w:textAlignment w:val="baseline"/>
        <w:textboxTightWrap w:val="none"/>
        <w:rPr>
          <w:rFonts w:cs="Arial"/>
          <w:color w:val="000000"/>
          <w:sz w:val="22"/>
          <w:szCs w:val="22"/>
          <w:lang w:eastAsia="en-GB"/>
        </w:rPr>
      </w:pPr>
      <w:hyperlink r:id="rId27" w:history="1">
        <w:r w:rsidR="00A769DC" w:rsidRPr="00A769DC">
          <w:rPr>
            <w:rFonts w:cs="Arial"/>
            <w:color w:val="1155CC"/>
            <w:sz w:val="22"/>
            <w:szCs w:val="22"/>
            <w:u w:val="single"/>
            <w:lang w:eastAsia="en-GB"/>
          </w:rPr>
          <w:t>https://www.immunology.org/public-information/vaccine-resources/childhood-vaccines/vaccine-infographics/celebrate-vaccines</w:t>
        </w:r>
      </w:hyperlink>
      <w:r w:rsidR="00A769DC" w:rsidRPr="00A769DC">
        <w:rPr>
          <w:rFonts w:cs="Arial"/>
          <w:color w:val="000000"/>
          <w:sz w:val="22"/>
          <w:szCs w:val="22"/>
          <w:lang w:eastAsia="en-GB"/>
        </w:rPr>
        <w:t> </w:t>
      </w:r>
    </w:p>
    <w:p w14:paraId="0F746FF9" w14:textId="77777777" w:rsidR="00A769DC" w:rsidRPr="00A769DC" w:rsidRDefault="00406944" w:rsidP="00A769DC">
      <w:pPr>
        <w:numPr>
          <w:ilvl w:val="1"/>
          <w:numId w:val="11"/>
        </w:numPr>
        <w:spacing w:after="0" w:line="240" w:lineRule="auto"/>
        <w:textAlignment w:val="baseline"/>
        <w:textboxTightWrap w:val="none"/>
        <w:rPr>
          <w:rFonts w:cs="Arial"/>
          <w:color w:val="000000"/>
          <w:sz w:val="22"/>
          <w:szCs w:val="22"/>
          <w:lang w:eastAsia="en-GB"/>
        </w:rPr>
      </w:pPr>
      <w:hyperlink r:id="rId28" w:history="1">
        <w:r w:rsidR="00A769DC" w:rsidRPr="00A769DC">
          <w:rPr>
            <w:rFonts w:cs="Arial"/>
            <w:color w:val="1155CC"/>
            <w:sz w:val="22"/>
            <w:szCs w:val="22"/>
            <w:u w:val="single"/>
            <w:lang w:eastAsia="en-GB"/>
          </w:rPr>
          <w:t>https://www.youtube.com/watch?v=-J7UZqxQNN8</w:t>
        </w:r>
      </w:hyperlink>
      <w:r w:rsidR="00A769DC" w:rsidRPr="00A769DC">
        <w:rPr>
          <w:rFonts w:cs="Arial"/>
          <w:color w:val="000000"/>
          <w:sz w:val="22"/>
          <w:szCs w:val="22"/>
          <w:lang w:eastAsia="en-GB"/>
        </w:rPr>
        <w:t> </w:t>
      </w:r>
    </w:p>
    <w:p w14:paraId="00F858BC" w14:textId="77777777" w:rsidR="00A769DC" w:rsidRPr="00A769DC" w:rsidRDefault="00406944" w:rsidP="00A769DC">
      <w:pPr>
        <w:numPr>
          <w:ilvl w:val="1"/>
          <w:numId w:val="11"/>
        </w:numPr>
        <w:spacing w:after="0" w:line="240" w:lineRule="auto"/>
        <w:textAlignment w:val="baseline"/>
        <w:textboxTightWrap w:val="none"/>
        <w:rPr>
          <w:rFonts w:cs="Arial"/>
          <w:color w:val="000000"/>
          <w:sz w:val="22"/>
          <w:szCs w:val="22"/>
          <w:lang w:eastAsia="en-GB"/>
        </w:rPr>
      </w:pPr>
      <w:hyperlink r:id="rId29" w:history="1">
        <w:r w:rsidR="00A769DC" w:rsidRPr="00A769DC">
          <w:rPr>
            <w:rFonts w:cs="Arial"/>
            <w:color w:val="1155CC"/>
            <w:sz w:val="22"/>
            <w:szCs w:val="22"/>
            <w:u w:val="single"/>
            <w:lang w:eastAsia="en-GB"/>
          </w:rPr>
          <w:t>https://www.immunology.org/sites/default/files/2023-03/BSI_GuidetoVaccinationsforAdults-March2023-v2.pdf</w:t>
        </w:r>
      </w:hyperlink>
      <w:r w:rsidR="00A769DC" w:rsidRPr="00A769DC">
        <w:rPr>
          <w:rFonts w:cs="Arial"/>
          <w:color w:val="000000"/>
          <w:sz w:val="22"/>
          <w:szCs w:val="22"/>
          <w:lang w:eastAsia="en-GB"/>
        </w:rPr>
        <w:t> </w:t>
      </w:r>
    </w:p>
    <w:p w14:paraId="5270DD64" w14:textId="77777777" w:rsidR="00A769DC" w:rsidRPr="00A769DC" w:rsidRDefault="00406944" w:rsidP="000B68FE">
      <w:pPr>
        <w:numPr>
          <w:ilvl w:val="1"/>
          <w:numId w:val="11"/>
        </w:numPr>
        <w:spacing w:after="0" w:line="240" w:lineRule="auto"/>
        <w:textAlignment w:val="baseline"/>
        <w:textboxTightWrap w:val="none"/>
        <w:rPr>
          <w:rFonts w:cs="Arial"/>
          <w:color w:val="000000"/>
          <w:sz w:val="22"/>
          <w:szCs w:val="22"/>
          <w:lang w:eastAsia="en-GB"/>
        </w:rPr>
      </w:pPr>
      <w:hyperlink r:id="rId30" w:history="1">
        <w:r w:rsidR="00A769DC" w:rsidRPr="00A769DC">
          <w:rPr>
            <w:rFonts w:cs="Arial"/>
            <w:color w:val="1155CC"/>
            <w:sz w:val="22"/>
            <w:szCs w:val="22"/>
            <w:u w:val="single"/>
            <w:lang w:eastAsia="en-GB"/>
          </w:rPr>
          <w:t>https://www.immunology.org/sites/default/files/2023-04/BSI_Guide_Childhood_Vaccinations_2023.pdf</w:t>
        </w:r>
      </w:hyperlink>
      <w:r w:rsidR="00A769DC" w:rsidRPr="00A769DC">
        <w:rPr>
          <w:rFonts w:cs="Arial"/>
          <w:color w:val="000000"/>
          <w:sz w:val="22"/>
          <w:szCs w:val="22"/>
          <w:lang w:eastAsia="en-GB"/>
        </w:rPr>
        <w:t> </w:t>
      </w:r>
    </w:p>
    <w:p w14:paraId="4EEA2EE7" w14:textId="77777777" w:rsidR="00A769DC" w:rsidRPr="00A769DC" w:rsidRDefault="00A769DC" w:rsidP="000B68FE">
      <w:pPr>
        <w:pStyle w:val="Heading2"/>
        <w:rPr>
          <w:rFonts w:ascii="Times New Roman" w:hAnsi="Times New Roman"/>
          <w:bCs/>
          <w:color w:val="auto"/>
          <w:sz w:val="36"/>
          <w:szCs w:val="36"/>
          <w:lang w:eastAsia="en-GB"/>
        </w:rPr>
      </w:pPr>
      <w:r w:rsidRPr="00A769DC">
        <w:rPr>
          <w:lang w:eastAsia="en-GB"/>
        </w:rPr>
        <w:lastRenderedPageBreak/>
        <w:t>Explaining how infectiousness of a disease affects ability to reach herd immunity</w:t>
      </w:r>
    </w:p>
    <w:p w14:paraId="0916369A" w14:textId="77777777" w:rsidR="00A769DC" w:rsidRPr="00A769DC" w:rsidRDefault="00A769DC" w:rsidP="00A769DC">
      <w:pPr>
        <w:numPr>
          <w:ilvl w:val="0"/>
          <w:numId w:val="12"/>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Interactive widget: </w:t>
      </w:r>
      <w:hyperlink r:id="rId31" w:history="1">
        <w:r w:rsidRPr="00A769DC">
          <w:rPr>
            <w:rFonts w:ascii="Calibri" w:hAnsi="Calibri" w:cs="Calibri"/>
            <w:color w:val="1155CC"/>
            <w:sz w:val="22"/>
            <w:szCs w:val="22"/>
            <w:u w:val="single"/>
            <w:lang w:eastAsia="en-GB"/>
          </w:rPr>
          <w:t>http://rocs.hu-berlin.de/D3/herd/</w:t>
        </w:r>
      </w:hyperlink>
    </w:p>
    <w:p w14:paraId="34396DE4" w14:textId="77777777" w:rsidR="00A769DC" w:rsidRPr="00A769DC" w:rsidRDefault="00A769DC" w:rsidP="00A769DC">
      <w:pPr>
        <w:numPr>
          <w:ilvl w:val="0"/>
          <w:numId w:val="12"/>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Games: </w:t>
      </w:r>
    </w:p>
    <w:p w14:paraId="1A39834C" w14:textId="77777777" w:rsidR="00A769DC" w:rsidRPr="00A769DC" w:rsidRDefault="00406944" w:rsidP="00A769DC">
      <w:pPr>
        <w:numPr>
          <w:ilvl w:val="1"/>
          <w:numId w:val="12"/>
        </w:numPr>
        <w:spacing w:after="0" w:line="240" w:lineRule="auto"/>
        <w:textAlignment w:val="baseline"/>
        <w:textboxTightWrap w:val="none"/>
        <w:rPr>
          <w:rFonts w:cs="Arial"/>
          <w:color w:val="000000"/>
          <w:sz w:val="22"/>
          <w:szCs w:val="22"/>
          <w:lang w:eastAsia="en-GB"/>
        </w:rPr>
      </w:pPr>
      <w:hyperlink r:id="rId32" w:history="1">
        <w:r w:rsidR="00A769DC" w:rsidRPr="00A769DC">
          <w:rPr>
            <w:rFonts w:cs="Arial"/>
            <w:color w:val="1155CC"/>
            <w:sz w:val="22"/>
            <w:szCs w:val="22"/>
            <w:u w:val="single"/>
            <w:lang w:eastAsia="en-GB"/>
          </w:rPr>
          <w:t>https://www.immunology.org/public-information/vaccine-resources/childhood-vaccines/activity-packs/hands-activities/herd</w:t>
        </w:r>
      </w:hyperlink>
    </w:p>
    <w:p w14:paraId="2B6EA851" w14:textId="77777777" w:rsidR="00A769DC" w:rsidRPr="00A769DC" w:rsidRDefault="00406944" w:rsidP="000B68FE">
      <w:pPr>
        <w:numPr>
          <w:ilvl w:val="1"/>
          <w:numId w:val="12"/>
        </w:numPr>
        <w:spacing w:after="0" w:line="240" w:lineRule="auto"/>
        <w:textAlignment w:val="baseline"/>
        <w:textboxTightWrap w:val="none"/>
        <w:rPr>
          <w:rFonts w:cs="Arial"/>
          <w:color w:val="000000"/>
          <w:sz w:val="22"/>
          <w:szCs w:val="22"/>
          <w:lang w:eastAsia="en-GB"/>
        </w:rPr>
      </w:pPr>
      <w:hyperlink r:id="rId33" w:history="1">
        <w:r w:rsidR="00A769DC" w:rsidRPr="00A769DC">
          <w:rPr>
            <w:rFonts w:cs="Arial"/>
            <w:color w:val="1155CC"/>
            <w:sz w:val="22"/>
            <w:szCs w:val="22"/>
            <w:u w:val="single"/>
            <w:lang w:eastAsia="en-GB"/>
          </w:rPr>
          <w:t>https://www.immunology.org/public-information/vaccine-resources/childhood-vaccines/activity-packs/hands-activities/herd-0</w:t>
        </w:r>
      </w:hyperlink>
      <w:r w:rsidR="00A769DC" w:rsidRPr="00A769DC">
        <w:rPr>
          <w:rFonts w:cs="Arial"/>
          <w:color w:val="000000"/>
          <w:sz w:val="22"/>
          <w:szCs w:val="22"/>
          <w:lang w:eastAsia="en-GB"/>
        </w:rPr>
        <w:t> </w:t>
      </w:r>
    </w:p>
    <w:p w14:paraId="4F3BFD9F" w14:textId="77777777" w:rsidR="00A769DC" w:rsidRPr="000B68FE" w:rsidRDefault="00A769DC" w:rsidP="000B68FE">
      <w:pPr>
        <w:pStyle w:val="Heading2"/>
        <w:rPr>
          <w:rFonts w:ascii="Arial" w:hAnsi="Arial"/>
          <w:color w:val="000000"/>
          <w:kern w:val="36"/>
          <w:sz w:val="40"/>
          <w:szCs w:val="40"/>
          <w:lang w:eastAsia="en-GB"/>
        </w:rPr>
      </w:pPr>
      <w:r w:rsidRPr="00A769DC">
        <w:rPr>
          <w:lang w:eastAsia="en-GB"/>
        </w:rPr>
        <w:t>Vaccine and Infection Immunity </w:t>
      </w:r>
    </w:p>
    <w:p w14:paraId="4B7DA091" w14:textId="77777777" w:rsidR="00A769DC" w:rsidRPr="00A769DC" w:rsidRDefault="00A769DC" w:rsidP="000B68FE">
      <w:pPr>
        <w:pStyle w:val="Heading3"/>
        <w:rPr>
          <w:rFonts w:ascii="Times New Roman" w:hAnsi="Times New Roman"/>
          <w:bCs/>
          <w:color w:val="auto"/>
          <w:sz w:val="36"/>
          <w:szCs w:val="36"/>
          <w:lang w:eastAsia="en-GB"/>
        </w:rPr>
      </w:pPr>
      <w:r w:rsidRPr="00A769DC">
        <w:rPr>
          <w:lang w:eastAsia="en-GB"/>
        </w:rPr>
        <w:t>Standard information: How does our immunity work? </w:t>
      </w:r>
    </w:p>
    <w:p w14:paraId="2D85B26B" w14:textId="77777777" w:rsidR="00A769DC" w:rsidRPr="00A769DC" w:rsidRDefault="00A769DC" w:rsidP="00A769DC">
      <w:pPr>
        <w:numPr>
          <w:ilvl w:val="0"/>
          <w:numId w:val="13"/>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British immunology society resources:</w:t>
      </w:r>
    </w:p>
    <w:p w14:paraId="7D1A813E" w14:textId="77777777" w:rsidR="00A769DC" w:rsidRPr="00A769DC" w:rsidRDefault="00406944" w:rsidP="00A769DC">
      <w:pPr>
        <w:numPr>
          <w:ilvl w:val="1"/>
          <w:numId w:val="13"/>
        </w:numPr>
        <w:spacing w:after="0" w:line="240" w:lineRule="auto"/>
        <w:textAlignment w:val="baseline"/>
        <w:textboxTightWrap w:val="none"/>
        <w:rPr>
          <w:rFonts w:cs="Arial"/>
          <w:color w:val="000000"/>
          <w:sz w:val="22"/>
          <w:szCs w:val="22"/>
          <w:lang w:eastAsia="en-GB"/>
        </w:rPr>
      </w:pPr>
      <w:hyperlink r:id="rId34" w:history="1">
        <w:r w:rsidR="00A769DC" w:rsidRPr="00A769DC">
          <w:rPr>
            <w:rFonts w:cs="Arial"/>
            <w:color w:val="1155CC"/>
            <w:sz w:val="22"/>
            <w:szCs w:val="22"/>
            <w:u w:val="single"/>
            <w:lang w:eastAsia="en-GB"/>
          </w:rPr>
          <w:t>https://www.immunology.org/sites/default/files/2023-03/BSI_GuidetoVaccinationsforAdults-March2023-v2.pdf</w:t>
        </w:r>
      </w:hyperlink>
      <w:r w:rsidR="00A769DC" w:rsidRPr="00A769DC">
        <w:rPr>
          <w:rFonts w:cs="Arial"/>
          <w:color w:val="000000"/>
          <w:sz w:val="22"/>
          <w:szCs w:val="22"/>
          <w:lang w:eastAsia="en-GB"/>
        </w:rPr>
        <w:t> </w:t>
      </w:r>
    </w:p>
    <w:p w14:paraId="7CDD2793" w14:textId="77777777" w:rsidR="00A769DC" w:rsidRPr="00A769DC" w:rsidRDefault="00406944" w:rsidP="00A769DC">
      <w:pPr>
        <w:numPr>
          <w:ilvl w:val="1"/>
          <w:numId w:val="13"/>
        </w:numPr>
        <w:spacing w:after="0" w:line="240" w:lineRule="auto"/>
        <w:textAlignment w:val="baseline"/>
        <w:textboxTightWrap w:val="none"/>
        <w:rPr>
          <w:rFonts w:cs="Arial"/>
          <w:color w:val="000000"/>
          <w:sz w:val="22"/>
          <w:szCs w:val="22"/>
          <w:lang w:eastAsia="en-GB"/>
        </w:rPr>
      </w:pPr>
      <w:hyperlink r:id="rId35" w:history="1">
        <w:r w:rsidR="00A769DC" w:rsidRPr="00A769DC">
          <w:rPr>
            <w:rFonts w:cs="Arial"/>
            <w:color w:val="1155CC"/>
            <w:sz w:val="22"/>
            <w:szCs w:val="22"/>
            <w:u w:val="single"/>
            <w:lang w:eastAsia="en-GB"/>
          </w:rPr>
          <w:t>https://www.immunology.org/sites/default/files/2023-04/BSI_Guide_Childhood_Vaccinations_2023.pdf</w:t>
        </w:r>
      </w:hyperlink>
      <w:r w:rsidR="00A769DC" w:rsidRPr="00A769DC">
        <w:rPr>
          <w:rFonts w:cs="Arial"/>
          <w:color w:val="000000"/>
          <w:sz w:val="22"/>
          <w:szCs w:val="22"/>
          <w:lang w:eastAsia="en-GB"/>
        </w:rPr>
        <w:t> </w:t>
      </w:r>
    </w:p>
    <w:p w14:paraId="4B441C93" w14:textId="77777777" w:rsidR="00A769DC" w:rsidRPr="00A769DC" w:rsidRDefault="00A769DC" w:rsidP="00A769DC">
      <w:pPr>
        <w:numPr>
          <w:ilvl w:val="1"/>
          <w:numId w:val="13"/>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Translations, if needed: https://www.immunology.org/public-information/vaccine-resources/vaccine-resources-different-languages</w:t>
      </w:r>
    </w:p>
    <w:p w14:paraId="0F091C15" w14:textId="77777777" w:rsidR="00A769DC" w:rsidRPr="00A769DC" w:rsidRDefault="00A769DC" w:rsidP="000B68FE">
      <w:pPr>
        <w:pStyle w:val="Heading2"/>
        <w:rPr>
          <w:rFonts w:ascii="Times New Roman" w:hAnsi="Times New Roman"/>
          <w:bCs/>
          <w:color w:val="auto"/>
          <w:sz w:val="36"/>
          <w:szCs w:val="36"/>
          <w:lang w:eastAsia="en-GB"/>
        </w:rPr>
      </w:pPr>
      <w:r w:rsidRPr="00A769DC">
        <w:rPr>
          <w:lang w:eastAsia="en-GB"/>
        </w:rPr>
        <w:t>Misconceptions, debunked</w:t>
      </w:r>
    </w:p>
    <w:p w14:paraId="6B86FB96" w14:textId="77777777" w:rsidR="00A769DC" w:rsidRPr="00A769DC" w:rsidRDefault="00A769DC" w:rsidP="000B68FE">
      <w:pPr>
        <w:rPr>
          <w:rFonts w:ascii="Times New Roman" w:hAnsi="Times New Roman"/>
          <w:b/>
          <w:bCs/>
          <w:color w:val="auto"/>
          <w:sz w:val="27"/>
          <w:szCs w:val="27"/>
          <w:lang w:eastAsia="en-GB"/>
        </w:rPr>
      </w:pPr>
      <w:r w:rsidRPr="00A769DC">
        <w:rPr>
          <w:lang w:eastAsia="en-GB"/>
        </w:rPr>
        <w:t>FACT: Infection-acquired immunity is riskier than vaccine-acquired immunity</w:t>
      </w:r>
    </w:p>
    <w:p w14:paraId="346E9EE8" w14:textId="77777777" w:rsidR="00A769DC" w:rsidRPr="00A769DC" w:rsidRDefault="00A769DC" w:rsidP="00A769DC">
      <w:pPr>
        <w:numPr>
          <w:ilvl w:val="0"/>
          <w:numId w:val="14"/>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Resources highlighting this:</w:t>
      </w:r>
    </w:p>
    <w:p w14:paraId="12D2F609" w14:textId="77777777" w:rsidR="00A769DC" w:rsidRPr="00A769DC" w:rsidRDefault="00A769DC" w:rsidP="00A769DC">
      <w:pPr>
        <w:numPr>
          <w:ilvl w:val="1"/>
          <w:numId w:val="14"/>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British immunology society (COVID) - </w:t>
      </w:r>
      <w:hyperlink r:id="rId36" w:history="1">
        <w:r w:rsidRPr="00A769DC">
          <w:rPr>
            <w:rFonts w:cs="Arial"/>
            <w:color w:val="1155CC"/>
            <w:sz w:val="22"/>
            <w:szCs w:val="22"/>
            <w:u w:val="single"/>
            <w:lang w:eastAsia="en-GB"/>
          </w:rPr>
          <w:t>https://www.immunology.org/public-information/vaccine-resources/covid-19/covid-19-vaccine-infographics/covid-immunity-infection-vaccine</w:t>
        </w:r>
      </w:hyperlink>
    </w:p>
    <w:p w14:paraId="4235833F" w14:textId="77777777" w:rsidR="00A769DC" w:rsidRPr="00A769DC" w:rsidRDefault="00A769DC" w:rsidP="00A769DC">
      <w:pPr>
        <w:numPr>
          <w:ilvl w:val="1"/>
          <w:numId w:val="14"/>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COVID-19 vaccination wiki: </w:t>
      </w:r>
      <w:hyperlink r:id="rId37" w:history="1">
        <w:r w:rsidRPr="00A769DC">
          <w:rPr>
            <w:rFonts w:cs="Arial"/>
            <w:color w:val="1155CC"/>
            <w:sz w:val="22"/>
            <w:szCs w:val="22"/>
            <w:u w:val="single"/>
            <w:lang w:eastAsia="en-GB"/>
          </w:rPr>
          <w:t>https://c19vax.scibeh.org/pages/riskperception</w:t>
        </w:r>
      </w:hyperlink>
      <w:r w:rsidRPr="00A769DC">
        <w:rPr>
          <w:rFonts w:cs="Arial"/>
          <w:color w:val="000000"/>
          <w:sz w:val="22"/>
          <w:szCs w:val="22"/>
          <w:lang w:eastAsia="en-GB"/>
        </w:rPr>
        <w:t> </w:t>
      </w:r>
    </w:p>
    <w:p w14:paraId="19F8E8C6" w14:textId="77777777" w:rsidR="00A769DC" w:rsidRPr="00A769DC" w:rsidRDefault="00A769DC" w:rsidP="00A769DC">
      <w:pPr>
        <w:numPr>
          <w:ilvl w:val="1"/>
          <w:numId w:val="14"/>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Example of measles damaging immune system: </w:t>
      </w:r>
      <w:hyperlink r:id="rId38" w:anchor="More-information-about-the-disease" w:history="1">
        <w:r w:rsidRPr="00A769DC">
          <w:rPr>
            <w:rFonts w:cs="Arial"/>
            <w:color w:val="1155CC"/>
            <w:sz w:val="22"/>
            <w:szCs w:val="22"/>
            <w:u w:val="single"/>
            <w:lang w:eastAsia="en-GB"/>
          </w:rPr>
          <w:t>https://vk.ovg.ox.ac.uk/measles#More-information-about-the-disease</w:t>
        </w:r>
      </w:hyperlink>
      <w:r w:rsidRPr="00A769DC">
        <w:rPr>
          <w:rFonts w:cs="Arial"/>
          <w:color w:val="000000"/>
          <w:sz w:val="22"/>
          <w:szCs w:val="22"/>
          <w:lang w:eastAsia="en-GB"/>
        </w:rPr>
        <w:t> </w:t>
      </w:r>
    </w:p>
    <w:p w14:paraId="7D06A215" w14:textId="77777777" w:rsidR="00A769DC" w:rsidRPr="00A769DC" w:rsidRDefault="00A769DC" w:rsidP="000B68FE">
      <w:pPr>
        <w:numPr>
          <w:ilvl w:val="1"/>
          <w:numId w:val="14"/>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Other consequences of vaccine preventable diseases can also be found on the Oxford Vaccine Knowledge Project </w:t>
      </w:r>
      <w:hyperlink r:id="rId39" w:anchor="More-information-about-the-disease" w:history="1">
        <w:r w:rsidRPr="00A769DC">
          <w:rPr>
            <w:rFonts w:cs="Arial"/>
            <w:color w:val="1155CC"/>
            <w:sz w:val="22"/>
            <w:szCs w:val="22"/>
            <w:u w:val="single"/>
            <w:lang w:eastAsia="en-GB"/>
          </w:rPr>
          <w:t>https://vk.ovg.ox.ac.uk</w:t>
        </w:r>
      </w:hyperlink>
    </w:p>
    <w:p w14:paraId="0284FBA4" w14:textId="77777777" w:rsidR="00A769DC" w:rsidRPr="00A769DC" w:rsidRDefault="00A769DC" w:rsidP="000B68FE">
      <w:pPr>
        <w:pStyle w:val="Heading2"/>
        <w:rPr>
          <w:rFonts w:ascii="Times New Roman" w:hAnsi="Times New Roman"/>
          <w:bCs/>
          <w:color w:val="auto"/>
          <w:lang w:eastAsia="en-GB"/>
        </w:rPr>
      </w:pPr>
      <w:r w:rsidRPr="00A769DC">
        <w:rPr>
          <w:lang w:eastAsia="en-GB"/>
        </w:rPr>
        <w:t>Why is this belief compelling?</w:t>
      </w:r>
    </w:p>
    <w:p w14:paraId="42B6675E" w14:textId="77777777" w:rsidR="00A769DC" w:rsidRPr="00A769DC" w:rsidRDefault="00A769DC" w:rsidP="00A769DC">
      <w:pPr>
        <w:numPr>
          <w:ilvl w:val="0"/>
          <w:numId w:val="15"/>
        </w:numPr>
        <w:spacing w:after="0" w:line="240" w:lineRule="auto"/>
        <w:textAlignment w:val="baseline"/>
        <w:textboxTightWrap w:val="none"/>
        <w:rPr>
          <w:rFonts w:cs="Arial"/>
          <w:color w:val="000000"/>
          <w:sz w:val="22"/>
          <w:szCs w:val="22"/>
          <w:lang w:eastAsia="en-GB"/>
        </w:rPr>
      </w:pPr>
      <w:r w:rsidRPr="00A769DC">
        <w:rPr>
          <w:rFonts w:cs="Arial"/>
          <w:color w:val="000000"/>
          <w:sz w:val="22"/>
          <w:szCs w:val="22"/>
          <w:lang w:eastAsia="en-GB"/>
        </w:rPr>
        <w:t xml:space="preserve">This narrative can make sense at face value, and plays into people’s tendency to prefer “natural” solutions - see more information on this “attitude root” here: </w:t>
      </w:r>
      <w:hyperlink r:id="rId40" w:history="1">
        <w:r w:rsidRPr="00A769DC">
          <w:rPr>
            <w:rFonts w:cs="Arial"/>
            <w:color w:val="1155CC"/>
            <w:sz w:val="22"/>
            <w:szCs w:val="22"/>
            <w:u w:val="single"/>
            <w:lang w:eastAsia="en-GB"/>
          </w:rPr>
          <w:t>https://jitsuvax.info/unwarranted-beliefs/natural-is-best/</w:t>
        </w:r>
      </w:hyperlink>
      <w:r w:rsidRPr="00A769DC">
        <w:rPr>
          <w:rFonts w:cs="Arial"/>
          <w:color w:val="000000"/>
          <w:sz w:val="22"/>
          <w:szCs w:val="22"/>
          <w:lang w:eastAsia="en-GB"/>
        </w:rPr>
        <w:t> </w:t>
      </w:r>
    </w:p>
    <w:p w14:paraId="6AA8621B" w14:textId="77777777" w:rsidR="004F0A67" w:rsidRPr="004F0A67" w:rsidRDefault="00A769DC" w:rsidP="000B68FE">
      <w:pPr>
        <w:spacing w:after="0" w:line="240" w:lineRule="auto"/>
        <w:textboxTightWrap w:val="none"/>
      </w:pPr>
      <w:r w:rsidRPr="00A769DC">
        <w:rPr>
          <w:rFonts w:eastAsia="Calibri" w:cs="Arial"/>
          <w:color w:val="000000"/>
          <w:kern w:val="2"/>
          <w:sz w:val="22"/>
          <w:szCs w:val="22"/>
          <w14:ligatures w14:val="standardContextual"/>
        </w:rPr>
        <w:t xml:space="preserve">It can also be based on one’s own experience of mild disease (e.g., chickenpox), resulting in an inaccurate perception of risks - see more information on this “attitude root” here: </w:t>
      </w:r>
      <w:hyperlink r:id="rId41" w:history="1">
        <w:r w:rsidRPr="00A769DC">
          <w:rPr>
            <w:rFonts w:eastAsia="Calibri" w:cs="Arial"/>
            <w:color w:val="1155CC"/>
            <w:kern w:val="2"/>
            <w:sz w:val="22"/>
            <w:szCs w:val="22"/>
            <w:u w:val="single"/>
            <w14:ligatures w14:val="standardContextual"/>
          </w:rPr>
          <w:t>https://jitsuvax.info/distorted-risk-perception/disease-is-not-serious/</w:t>
        </w:r>
      </w:hyperlink>
    </w:p>
    <w:sectPr w:rsidR="004F0A67" w:rsidRPr="004F0A67" w:rsidSect="009F3A1D">
      <w:headerReference w:type="default" r:id="rId42"/>
      <w:footerReference w:type="default" r:id="rId43"/>
      <w:headerReference w:type="first" r:id="rId44"/>
      <w:footerReference w:type="first" r:id="rId45"/>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5247" w14:textId="77777777" w:rsidR="00406944" w:rsidRDefault="00406944" w:rsidP="000C24AF">
      <w:pPr>
        <w:spacing w:after="0"/>
      </w:pPr>
      <w:r>
        <w:separator/>
      </w:r>
    </w:p>
  </w:endnote>
  <w:endnote w:type="continuationSeparator" w:id="0">
    <w:p w14:paraId="39F06F4F" w14:textId="77777777" w:rsidR="00406944" w:rsidRDefault="00406944" w:rsidP="000C24AF">
      <w:pPr>
        <w:spacing w:after="0"/>
      </w:pPr>
      <w:r>
        <w:continuationSeparator/>
      </w:r>
    </w:p>
  </w:endnote>
  <w:endnote w:type="continuationNotice" w:id="1">
    <w:p w14:paraId="6D979AF1" w14:textId="77777777" w:rsidR="00406944" w:rsidRDefault="00406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CEF6" w14:textId="77777777" w:rsidR="009F3A1D" w:rsidRDefault="009F3A1D">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4E56" w14:textId="4262C87A" w:rsidR="009F3A1D" w:rsidRDefault="000A15BE">
    <w:pPr>
      <w:pStyle w:val="Footer"/>
    </w:pPr>
    <w:r>
      <w:t>Publication reference:</w:t>
    </w:r>
    <w:r w:rsidR="00406944">
      <w:t xml:space="preserve"> Version 1.0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984C" w14:textId="77777777" w:rsidR="00406944" w:rsidRDefault="00406944" w:rsidP="000C24AF">
      <w:pPr>
        <w:spacing w:after="0"/>
      </w:pPr>
      <w:r>
        <w:separator/>
      </w:r>
    </w:p>
  </w:footnote>
  <w:footnote w:type="continuationSeparator" w:id="0">
    <w:p w14:paraId="44D66A3D" w14:textId="77777777" w:rsidR="00406944" w:rsidRDefault="00406944" w:rsidP="000C24AF">
      <w:pPr>
        <w:spacing w:after="0"/>
      </w:pPr>
      <w:r>
        <w:continuationSeparator/>
      </w:r>
    </w:p>
  </w:footnote>
  <w:footnote w:type="continuationNotice" w:id="1">
    <w:p w14:paraId="23D5179F" w14:textId="77777777" w:rsidR="00406944" w:rsidRDefault="004069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16E2" w14:textId="77777777" w:rsidR="002855F7" w:rsidRDefault="009F3A1D" w:rsidP="00101883">
    <w:pPr>
      <w:pStyle w:val="Header"/>
      <w:pBdr>
        <w:bottom w:val="none" w:sz="0" w:space="0" w:color="auto"/>
      </w:pBdr>
    </w:pPr>
    <w:r w:rsidRPr="00DD3B24">
      <w:rPr>
        <w:noProof/>
      </w:rPr>
      <w:drawing>
        <wp:anchor distT="0" distB="0" distL="114300" distR="114300" simplePos="0" relativeHeight="251662336" behindDoc="1" locked="1" layoutInCell="1" allowOverlap="0" wp14:anchorId="0C7A4394" wp14:editId="497F48BA">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7C6AC80" w14:textId="77777777" w:rsidR="002855F7" w:rsidRDefault="002855F7" w:rsidP="00101883">
    <w:pPr>
      <w:pStyle w:val="Header"/>
      <w:pBdr>
        <w:bottom w:val="none" w:sz="0" w:space="0" w:color="auto"/>
      </w:pBdr>
    </w:pPr>
  </w:p>
  <w:p w14:paraId="2BD48085" w14:textId="77777777" w:rsidR="009F3A1D" w:rsidRDefault="009F3A1D" w:rsidP="00101883">
    <w:pPr>
      <w:pStyle w:val="Header"/>
      <w:pBdr>
        <w:bottom w:val="none" w:sz="0" w:space="0" w:color="auto"/>
      </w:pBdr>
    </w:pPr>
  </w:p>
  <w:p w14:paraId="125335E0" w14:textId="77777777" w:rsidR="00F25CC7" w:rsidRPr="009F3A1D" w:rsidRDefault="00A769DC" w:rsidP="009F3A1D">
    <w:pPr>
      <w:pStyle w:val="Header"/>
      <w:rPr>
        <w:sz w:val="24"/>
      </w:rPr>
    </w:pPr>
    <w:r>
      <w:t>Crib Sheet to support conversations with hesitant patients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0952" w14:textId="4E5A71D5" w:rsidR="001E6E91" w:rsidRPr="009F3A1D" w:rsidRDefault="001E6E91" w:rsidP="009F3A1D">
    <w:r>
      <w:rPr>
        <w:rFonts w:asciiTheme="minorHAnsi" w:hAnsiTheme="minorHAnsi"/>
        <w:b/>
        <w:bCs/>
        <w:noProof/>
        <w:lang w:eastAsia="en-GB"/>
      </w:rPr>
      <w:drawing>
        <wp:anchor distT="0" distB="0" distL="114300" distR="114300" simplePos="0" relativeHeight="251664384" behindDoc="1" locked="0" layoutInCell="1" allowOverlap="1" wp14:anchorId="3315D7BF" wp14:editId="68027B7F">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Pr>
        <w:highlight w:val="yellow"/>
      </w:rPr>
      <w:t xml:space="preserve"> </w:t>
    </w:r>
    <w:sdt>
      <w:sdtPr>
        <w:rPr>
          <w:highlight w:val="yellow"/>
        </w:r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rPr>
          <w:highlight w:val="none"/>
        </w:rPr>
      </w:sdtEndPr>
      <w:sdtContent>
        <w:r w:rsidR="00406944">
          <w:rPr>
            <w:highlight w:val="yellow"/>
          </w:rPr>
          <w:t>Classification: 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7D4C"/>
    <w:multiLevelType w:val="multilevel"/>
    <w:tmpl w:val="1E10B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83379"/>
    <w:multiLevelType w:val="multilevel"/>
    <w:tmpl w:val="D2A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ED30A4"/>
    <w:multiLevelType w:val="multilevel"/>
    <w:tmpl w:val="9D3C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2640D"/>
    <w:multiLevelType w:val="multilevel"/>
    <w:tmpl w:val="159C5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81BD8"/>
    <w:multiLevelType w:val="multilevel"/>
    <w:tmpl w:val="C744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D1A92"/>
    <w:multiLevelType w:val="multilevel"/>
    <w:tmpl w:val="3288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95C85"/>
    <w:multiLevelType w:val="multilevel"/>
    <w:tmpl w:val="5ACC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A2A1D"/>
    <w:multiLevelType w:val="multilevel"/>
    <w:tmpl w:val="CF7EB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622FD"/>
    <w:multiLevelType w:val="multilevel"/>
    <w:tmpl w:val="F3025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C0AD2"/>
    <w:multiLevelType w:val="hybridMultilevel"/>
    <w:tmpl w:val="ACE8AA50"/>
    <w:lvl w:ilvl="0" w:tplc="50D2051E">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3E34F9"/>
    <w:multiLevelType w:val="multilevel"/>
    <w:tmpl w:val="FF367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C4CDB"/>
    <w:multiLevelType w:val="multilevel"/>
    <w:tmpl w:val="729E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795252">
    <w:abstractNumId w:val="0"/>
  </w:num>
  <w:num w:numId="2" w16cid:durableId="1394693074">
    <w:abstractNumId w:val="12"/>
  </w:num>
  <w:num w:numId="3" w16cid:durableId="1968007464">
    <w:abstractNumId w:val="3"/>
  </w:num>
  <w:num w:numId="4" w16cid:durableId="489754542">
    <w:abstractNumId w:val="11"/>
  </w:num>
  <w:num w:numId="5" w16cid:durableId="754134725">
    <w:abstractNumId w:val="8"/>
  </w:num>
  <w:num w:numId="6" w16cid:durableId="120005049">
    <w:abstractNumId w:val="2"/>
  </w:num>
  <w:num w:numId="7" w16cid:durableId="2102412931">
    <w:abstractNumId w:val="7"/>
  </w:num>
  <w:num w:numId="8" w16cid:durableId="1417051110">
    <w:abstractNumId w:val="10"/>
  </w:num>
  <w:num w:numId="9" w16cid:durableId="1768773882">
    <w:abstractNumId w:val="14"/>
  </w:num>
  <w:num w:numId="10" w16cid:durableId="1155145430">
    <w:abstractNumId w:val="6"/>
  </w:num>
  <w:num w:numId="11" w16cid:durableId="983437576">
    <w:abstractNumId w:val="1"/>
  </w:num>
  <w:num w:numId="12" w16cid:durableId="82651510">
    <w:abstractNumId w:val="9"/>
  </w:num>
  <w:num w:numId="13" w16cid:durableId="1587612417">
    <w:abstractNumId w:val="13"/>
  </w:num>
  <w:num w:numId="14" w16cid:durableId="1444574717">
    <w:abstractNumId w:val="5"/>
  </w:num>
  <w:num w:numId="15" w16cid:durableId="9141679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44"/>
    <w:rsid w:val="00000197"/>
    <w:rsid w:val="000005C7"/>
    <w:rsid w:val="0000416F"/>
    <w:rsid w:val="000108B8"/>
    <w:rsid w:val="0001164C"/>
    <w:rsid w:val="0003185C"/>
    <w:rsid w:val="00031FD0"/>
    <w:rsid w:val="00055630"/>
    <w:rsid w:val="00061452"/>
    <w:rsid w:val="000733A2"/>
    <w:rsid w:val="000767F6"/>
    <w:rsid w:val="0008313C"/>
    <w:rsid w:val="000863E2"/>
    <w:rsid w:val="00095621"/>
    <w:rsid w:val="000A15BE"/>
    <w:rsid w:val="000A266D"/>
    <w:rsid w:val="000A64E4"/>
    <w:rsid w:val="000B3637"/>
    <w:rsid w:val="000B68FE"/>
    <w:rsid w:val="000C2447"/>
    <w:rsid w:val="000C24AF"/>
    <w:rsid w:val="000D39C3"/>
    <w:rsid w:val="000E2EBE"/>
    <w:rsid w:val="00101883"/>
    <w:rsid w:val="0010192E"/>
    <w:rsid w:val="00103F4D"/>
    <w:rsid w:val="0010592F"/>
    <w:rsid w:val="00113EEC"/>
    <w:rsid w:val="00120B75"/>
    <w:rsid w:val="00121A3A"/>
    <w:rsid w:val="00127C11"/>
    <w:rsid w:val="001716E5"/>
    <w:rsid w:val="001C3565"/>
    <w:rsid w:val="001C6937"/>
    <w:rsid w:val="001D243C"/>
    <w:rsid w:val="001E004E"/>
    <w:rsid w:val="001E27F8"/>
    <w:rsid w:val="001E6E91"/>
    <w:rsid w:val="001F3126"/>
    <w:rsid w:val="0022134A"/>
    <w:rsid w:val="00224D32"/>
    <w:rsid w:val="00240B6E"/>
    <w:rsid w:val="00246075"/>
    <w:rsid w:val="00251B94"/>
    <w:rsid w:val="00270DAD"/>
    <w:rsid w:val="002855F7"/>
    <w:rsid w:val="00294488"/>
    <w:rsid w:val="002A3F48"/>
    <w:rsid w:val="002A45CD"/>
    <w:rsid w:val="002B3BFD"/>
    <w:rsid w:val="002C0816"/>
    <w:rsid w:val="002F7B8F"/>
    <w:rsid w:val="00323719"/>
    <w:rsid w:val="0033715E"/>
    <w:rsid w:val="0034439B"/>
    <w:rsid w:val="0034560E"/>
    <w:rsid w:val="0035386A"/>
    <w:rsid w:val="0035464A"/>
    <w:rsid w:val="003A4B22"/>
    <w:rsid w:val="003B2686"/>
    <w:rsid w:val="003B6BB4"/>
    <w:rsid w:val="003D3A42"/>
    <w:rsid w:val="003F7B0C"/>
    <w:rsid w:val="00403A76"/>
    <w:rsid w:val="00406944"/>
    <w:rsid w:val="00411D1D"/>
    <w:rsid w:val="00420E7F"/>
    <w:rsid w:val="00423FAF"/>
    <w:rsid w:val="00427636"/>
    <w:rsid w:val="00430131"/>
    <w:rsid w:val="00443088"/>
    <w:rsid w:val="00455A3F"/>
    <w:rsid w:val="00472D33"/>
    <w:rsid w:val="00491977"/>
    <w:rsid w:val="00497DE0"/>
    <w:rsid w:val="004A78D2"/>
    <w:rsid w:val="004D763F"/>
    <w:rsid w:val="004F0A67"/>
    <w:rsid w:val="004F1337"/>
    <w:rsid w:val="004F28CE"/>
    <w:rsid w:val="004F6303"/>
    <w:rsid w:val="005014AF"/>
    <w:rsid w:val="0052756A"/>
    <w:rsid w:val="00534180"/>
    <w:rsid w:val="00544C0C"/>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71B7A"/>
    <w:rsid w:val="00675E35"/>
    <w:rsid w:val="00684633"/>
    <w:rsid w:val="00692041"/>
    <w:rsid w:val="00694FC4"/>
    <w:rsid w:val="006A5CED"/>
    <w:rsid w:val="006D02E8"/>
    <w:rsid w:val="006F37F0"/>
    <w:rsid w:val="00702B4D"/>
    <w:rsid w:val="00710E40"/>
    <w:rsid w:val="0071497F"/>
    <w:rsid w:val="00723A85"/>
    <w:rsid w:val="0073429A"/>
    <w:rsid w:val="00753953"/>
    <w:rsid w:val="00761E45"/>
    <w:rsid w:val="00763FA3"/>
    <w:rsid w:val="00796E96"/>
    <w:rsid w:val="007A1D0E"/>
    <w:rsid w:val="007E4138"/>
    <w:rsid w:val="007E501D"/>
    <w:rsid w:val="007F5954"/>
    <w:rsid w:val="00801629"/>
    <w:rsid w:val="00811876"/>
    <w:rsid w:val="0081544B"/>
    <w:rsid w:val="00853A57"/>
    <w:rsid w:val="00855D19"/>
    <w:rsid w:val="00856061"/>
    <w:rsid w:val="008625E8"/>
    <w:rsid w:val="00864885"/>
    <w:rsid w:val="008744B1"/>
    <w:rsid w:val="00880D4A"/>
    <w:rsid w:val="00897829"/>
    <w:rsid w:val="008A2FAA"/>
    <w:rsid w:val="008C7569"/>
    <w:rsid w:val="008D2816"/>
    <w:rsid w:val="008D5572"/>
    <w:rsid w:val="008D5953"/>
    <w:rsid w:val="008E2296"/>
    <w:rsid w:val="008E6DC1"/>
    <w:rsid w:val="00905552"/>
    <w:rsid w:val="00917854"/>
    <w:rsid w:val="00921DED"/>
    <w:rsid w:val="00922AD1"/>
    <w:rsid w:val="00923270"/>
    <w:rsid w:val="0094128E"/>
    <w:rsid w:val="00961927"/>
    <w:rsid w:val="00970C89"/>
    <w:rsid w:val="00987163"/>
    <w:rsid w:val="00990E1C"/>
    <w:rsid w:val="009A0001"/>
    <w:rsid w:val="009B0321"/>
    <w:rsid w:val="009B47EA"/>
    <w:rsid w:val="009C27F0"/>
    <w:rsid w:val="009D24D4"/>
    <w:rsid w:val="009F09FD"/>
    <w:rsid w:val="009F1650"/>
    <w:rsid w:val="009F3A1D"/>
    <w:rsid w:val="009F4912"/>
    <w:rsid w:val="009F7412"/>
    <w:rsid w:val="00A02EEF"/>
    <w:rsid w:val="00A03469"/>
    <w:rsid w:val="00A124B9"/>
    <w:rsid w:val="00A24407"/>
    <w:rsid w:val="00A268E2"/>
    <w:rsid w:val="00A646D7"/>
    <w:rsid w:val="00A66950"/>
    <w:rsid w:val="00A75B7E"/>
    <w:rsid w:val="00A769DC"/>
    <w:rsid w:val="00A812B3"/>
    <w:rsid w:val="00A90832"/>
    <w:rsid w:val="00AB3248"/>
    <w:rsid w:val="00AB731C"/>
    <w:rsid w:val="00AC103C"/>
    <w:rsid w:val="00AC7958"/>
    <w:rsid w:val="00AE45DB"/>
    <w:rsid w:val="00AE554A"/>
    <w:rsid w:val="00AE6B55"/>
    <w:rsid w:val="00AF7217"/>
    <w:rsid w:val="00B051B5"/>
    <w:rsid w:val="00B44DD5"/>
    <w:rsid w:val="00B57496"/>
    <w:rsid w:val="00B738AB"/>
    <w:rsid w:val="00B77C41"/>
    <w:rsid w:val="00B81669"/>
    <w:rsid w:val="00B907B5"/>
    <w:rsid w:val="00BA6DA0"/>
    <w:rsid w:val="00BC5961"/>
    <w:rsid w:val="00BC78C6"/>
    <w:rsid w:val="00BE0046"/>
    <w:rsid w:val="00BE6447"/>
    <w:rsid w:val="00C01D97"/>
    <w:rsid w:val="00C021AB"/>
    <w:rsid w:val="00C07F6B"/>
    <w:rsid w:val="00C2506B"/>
    <w:rsid w:val="00C37063"/>
    <w:rsid w:val="00C40AAB"/>
    <w:rsid w:val="00C52947"/>
    <w:rsid w:val="00C67367"/>
    <w:rsid w:val="00C846FE"/>
    <w:rsid w:val="00C92413"/>
    <w:rsid w:val="00CA0FAC"/>
    <w:rsid w:val="00CA667A"/>
    <w:rsid w:val="00CC7B1C"/>
    <w:rsid w:val="00CE086C"/>
    <w:rsid w:val="00CF7DA5"/>
    <w:rsid w:val="00D114F8"/>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0EF6"/>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B407E"/>
  <w15:docId w15:val="{5EBF282D-FF41-4C8E-B0AC-11CF7D9C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323719"/>
    <w:pPr>
      <w:keepNext/>
      <w:jc w:val="center"/>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323719"/>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7E501D"/>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autoRedefine/>
    <w:uiPriority w:val="39"/>
    <w:qFormat/>
    <w:rsid w:val="007E501D"/>
    <w:pPr>
      <w:tabs>
        <w:tab w:val="right" w:pos="9854"/>
      </w:tabs>
      <w:spacing w:after="100"/>
      <w:ind w:left="220"/>
    </w:pPr>
    <w:rPr>
      <w:b/>
      <w:noProof/>
      <w:color w:val="005EB8" w:themeColor="text2"/>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1">
    <w:name w:val="Numbered Heading 1"/>
    <w:basedOn w:val="Heading2"/>
    <w:next w:val="BodyText"/>
    <w:autoRedefine/>
    <w:uiPriority w:val="9"/>
    <w:qFormat/>
    <w:rsid w:val="007E501D"/>
    <w:pPr>
      <w:keepLines/>
      <w:numPr>
        <w:numId w:val="3"/>
      </w:numPr>
      <w:contextualSpacing/>
    </w:pPr>
    <w:rPr>
      <w:rFonts w:ascii="Arial" w:eastAsiaTheme="majorEastAsia" w:hAnsi="Arial" w:cs="Arial (Headings CS)"/>
      <w:szCs w:val="32"/>
    </w:rPr>
  </w:style>
  <w:style w:type="paragraph" w:customStyle="1" w:styleId="NumberedHeading2">
    <w:name w:val="Numbered Heading 2"/>
    <w:basedOn w:val="Heading3"/>
    <w:next w:val="BodyText"/>
    <w:autoRedefine/>
    <w:uiPriority w:val="9"/>
    <w:qFormat/>
    <w:rsid w:val="007E501D"/>
    <w:pPr>
      <w:keepNext/>
      <w:keepLines/>
      <w:numPr>
        <w:ilvl w:val="1"/>
        <w:numId w:val="3"/>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7E501D"/>
    <w:pPr>
      <w:keepNext/>
      <w:keepLines/>
      <w:numPr>
        <w:ilvl w:val="2"/>
        <w:numId w:val="3"/>
      </w:numPr>
    </w:pPr>
    <w:rPr>
      <w:rFonts w:eastAsiaTheme="majorEastAsia" w:cs="Arial (Headings CS)"/>
      <w:color w:val="231F20"/>
      <w:kern w:val="0"/>
      <w14:ligatures w14:val="none"/>
    </w:rPr>
  </w:style>
  <w:style w:type="numbering" w:customStyle="1" w:styleId="NHSHeadings">
    <w:name w:val="NHS Headings"/>
    <w:basedOn w:val="NoList"/>
    <w:uiPriority w:val="99"/>
    <w:rsid w:val="007E501D"/>
    <w:pPr>
      <w:numPr>
        <w:numId w:val="3"/>
      </w:numPr>
    </w:pPr>
  </w:style>
  <w:style w:type="paragraph" w:styleId="BodyText">
    <w:name w:val="Body Text"/>
    <w:basedOn w:val="Normal"/>
    <w:link w:val="BodyTextChar"/>
    <w:uiPriority w:val="99"/>
    <w:semiHidden/>
    <w:unhideWhenUsed/>
    <w:rsid w:val="007E501D"/>
    <w:pPr>
      <w:spacing w:after="120"/>
    </w:pPr>
  </w:style>
  <w:style w:type="character" w:customStyle="1" w:styleId="BodyTextChar">
    <w:name w:val="Body Text Char"/>
    <w:basedOn w:val="DefaultParagraphFont"/>
    <w:link w:val="BodyText"/>
    <w:uiPriority w:val="99"/>
    <w:semiHidden/>
    <w:rsid w:val="007E501D"/>
    <w:rPr>
      <w:rFonts w:ascii="Arial" w:hAnsi="Arial"/>
      <w:color w:val="425563" w:themeColor="accent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ovg.ox.ac.uk/mmr-vaccine" TargetMode="External"/><Relationship Id="rId18" Type="http://schemas.openxmlformats.org/officeDocument/2006/relationships/hyperlink" Target="https://jitsuvax.info" TargetMode="External"/><Relationship Id="rId26" Type="http://schemas.openxmlformats.org/officeDocument/2006/relationships/hyperlink" Target="https://bmjopen.bmj.com/content/7/3/e014106" TargetMode="External"/><Relationship Id="rId39" Type="http://schemas.openxmlformats.org/officeDocument/2006/relationships/hyperlink" Target="https://vk.ovg.ox.ac.uk/measles" TargetMode="External"/><Relationship Id="rId21" Type="http://schemas.openxmlformats.org/officeDocument/2006/relationships/hyperlink" Target="https://www.autismresearchcentre.com/projects/prevalence-of-autism-spectrum-conditions-in-primary-schools-cast/" TargetMode="External"/><Relationship Id="rId34" Type="http://schemas.openxmlformats.org/officeDocument/2006/relationships/hyperlink" Target="https://www.immunology.org/sites/default/files/2023-03/BSI_GuidetoVaccinationsforAdults-March2023-v2.pdf"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unterhate.com/research/the-disinformation-dozen/" TargetMode="External"/><Relationship Id="rId29" Type="http://schemas.openxmlformats.org/officeDocument/2006/relationships/hyperlink" Target="https://www.immunology.org/sites/default/files/2023-03/BSI_GuidetoVaccinationsforAdults-March2023-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tsuvax.info/search/" TargetMode="External"/><Relationship Id="rId24" Type="http://schemas.openxmlformats.org/officeDocument/2006/relationships/hyperlink" Target="https://hackmd.io/@scibehC19vax/vaxculture" TargetMode="External"/><Relationship Id="rId32" Type="http://schemas.openxmlformats.org/officeDocument/2006/relationships/hyperlink" Target="https://www.immunology.org/public-information/vaccine-resources/childhood-vaccines/activity-packs/hands-activities/herd" TargetMode="External"/><Relationship Id="rId37" Type="http://schemas.openxmlformats.org/officeDocument/2006/relationships/hyperlink" Target="https://c19vax.scibeh.org/pages/riskperception" TargetMode="External"/><Relationship Id="rId40" Type="http://schemas.openxmlformats.org/officeDocument/2006/relationships/hyperlink" Target="https://jitsuvax.info/unwarranted-beliefs/natural-is-best/"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mj.com/content/342/bmj.c5347" TargetMode="External"/><Relationship Id="rId23" Type="http://schemas.openxmlformats.org/officeDocument/2006/relationships/hyperlink" Target="https://www.cdc.gov/tuskegee/timeline.htm" TargetMode="External"/><Relationship Id="rId28" Type="http://schemas.openxmlformats.org/officeDocument/2006/relationships/hyperlink" Target="https://www.youtube.com/watch?v=-J7UZqxQNN8" TargetMode="External"/><Relationship Id="rId36" Type="http://schemas.openxmlformats.org/officeDocument/2006/relationships/hyperlink" Target="https://www.immunology.org/public-information/vaccine-resources/covid-19/covid-19-vaccine-infographics/covid-immunity-infection-vaccine" TargetMode="External"/><Relationship Id="rId10" Type="http://schemas.openxmlformats.org/officeDocument/2006/relationships/endnotes" Target="endnotes.xml"/><Relationship Id="rId19" Type="http://schemas.openxmlformats.org/officeDocument/2006/relationships/hyperlink" Target="https://jitsuvax.info/fear-and-phobias/dreadful-injuries/" TargetMode="External"/><Relationship Id="rId31" Type="http://schemas.openxmlformats.org/officeDocument/2006/relationships/hyperlink" Target="http://rocs.hu-berlin.de/D3/herd/"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k.ovg.ox.ac.uk/mmr-vaccine" TargetMode="External"/><Relationship Id="rId22" Type="http://schemas.openxmlformats.org/officeDocument/2006/relationships/hyperlink" Target="https://jitsuvax.info/distrust/marginalised-groups/" TargetMode="External"/><Relationship Id="rId27" Type="http://schemas.openxmlformats.org/officeDocument/2006/relationships/hyperlink" Target="https://www.immunology.org/public-information/vaccine-resources/childhood-vaccines/vaccine-infographics/celebrate-vaccines" TargetMode="External"/><Relationship Id="rId30" Type="http://schemas.openxmlformats.org/officeDocument/2006/relationships/hyperlink" Target="https://www.immunology.org/sites/default/files/2023-04/BSI_Guide_Childhood_Vaccinations_2023.pdf" TargetMode="External"/><Relationship Id="rId35" Type="http://schemas.openxmlformats.org/officeDocument/2006/relationships/hyperlink" Target="https://www.immunology.org/sites/default/files/2023-04/BSI_Guide_Childhood_Vaccinations_2023.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mmr-for-all-general-leaflet" TargetMode="External"/><Relationship Id="rId17" Type="http://schemas.openxmlformats.org/officeDocument/2006/relationships/hyperlink" Target="https://counterhate.com/research/the-anti-vaxx-industry/" TargetMode="External"/><Relationship Id="rId25" Type="http://schemas.openxmlformats.org/officeDocument/2006/relationships/hyperlink" Target="https://c19vax.scibeh.org/pages/vaxequity" TargetMode="External"/><Relationship Id="rId33" Type="http://schemas.openxmlformats.org/officeDocument/2006/relationships/hyperlink" Target="https://www.immunology.org/public-information/vaccine-resources/childhood-vaccines/activity-packs/hands-activities/herd-0" TargetMode="External"/><Relationship Id="rId38" Type="http://schemas.openxmlformats.org/officeDocument/2006/relationships/hyperlink" Target="https://vk.ovg.ox.ac.uk/measles" TargetMode="External"/><Relationship Id="rId46" Type="http://schemas.openxmlformats.org/officeDocument/2006/relationships/fontTable" Target="fontTable.xml"/><Relationship Id="rId20" Type="http://schemas.openxmlformats.org/officeDocument/2006/relationships/hyperlink" Target="https://jitsuvax.info/unwarranted-beliefs/absurd-causality/" TargetMode="External"/><Relationship Id="rId41" Type="http://schemas.openxmlformats.org/officeDocument/2006/relationships/hyperlink" Target="https://jitsuvax.info/distorted-risk-perception/disease-is-not-seri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Hollis\OneDrive%20-%20NHS%20England\Desktop\A%20London\Imms\MMR\PC%20GP%20Annual%20Campaign%20Support%20Sheet%20-%20MMR.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4" ma:contentTypeDescription="Create a new document." ma:contentTypeScope="" ma:versionID="df67a3ef9401269458bb578c87a7438f">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1f78e506478e432b77851df7de98006d"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66DCB31F-C46F-4293-8C5A-9C6B5001B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 GP Annual Campaign Support Sheet - MMR</Template>
  <TotalTime>0</TotalTime>
  <Pages>6</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Short document template 2</vt:lpstr>
    </vt:vector>
  </TitlesOfParts>
  <Company>Health &amp; Social Care Information Centre</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2</dc:title>
  <dc:subject/>
  <dc:creator>Dawn Hollis</dc:creator>
  <cp:keywords/>
  <cp:lastModifiedBy>Dawn Hollis</cp:lastModifiedBy>
  <cp:revision>1</cp:revision>
  <cp:lastPrinted>2016-07-14T17:27:00Z</cp:lastPrinted>
  <dcterms:created xsi:type="dcterms:W3CDTF">2023-12-07T10:17:00Z</dcterms:created>
  <dcterms:modified xsi:type="dcterms:W3CDTF">2023-12-07T10:19:00Z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