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D47D" w14:textId="77777777" w:rsidR="00FE54DD" w:rsidRDefault="00FE54DD" w:rsidP="00FC285C">
      <w:pPr>
        <w:pStyle w:val="Heading1"/>
      </w:pPr>
      <w:r w:rsidRPr="00FE54DD">
        <w:t xml:space="preserve">2024/25 capacity and access improvement </w:t>
      </w:r>
    </w:p>
    <w:p w14:paraId="0043A76A" w14:textId="77777777" w:rsidR="00D77F52" w:rsidRPr="00FC285C" w:rsidRDefault="00FE54DD" w:rsidP="00FC285C">
      <w:pPr>
        <w:pStyle w:val="Heading1"/>
      </w:pPr>
      <w:r w:rsidRPr="00FE54DD">
        <w:t>(CAIP) fund</w:t>
      </w:r>
      <w:r w:rsidR="007846DA" w:rsidRPr="00FC285C">
        <w:rPr>
          <w:noProof/>
        </w:rPr>
        <w:drawing>
          <wp:anchor distT="0" distB="0" distL="114300" distR="114300" simplePos="0" relativeHeight="251659264" behindDoc="0" locked="0" layoutInCell="1" allowOverlap="1" wp14:anchorId="29DC6513" wp14:editId="40B8163E">
            <wp:simplePos x="0" y="0"/>
            <wp:positionH relativeFrom="column">
              <wp:posOffset>4659051</wp:posOffset>
            </wp:positionH>
            <wp:positionV relativeFrom="paragraph">
              <wp:posOffset>-1072974</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 Assurance Form</w:t>
      </w:r>
    </w:p>
    <w:p w14:paraId="3E7A457B" w14:textId="77777777" w:rsidR="00C12D73" w:rsidRDefault="00C12D73" w:rsidP="004C4F42">
      <w:pPr>
        <w:pStyle w:val="Heading2"/>
        <w:rPr>
          <w:rFonts w:eastAsia="Times New Roman" w:cs="Times New Roman"/>
          <w:b w:val="0"/>
          <w:color w:val="auto"/>
          <w:sz w:val="22"/>
          <w:szCs w:val="24"/>
        </w:rPr>
      </w:pPr>
    </w:p>
    <w:p w14:paraId="73C84D75" w14:textId="77777777" w:rsidR="00FE54DD" w:rsidRDefault="00FE54DD" w:rsidP="006B5306">
      <w:pPr>
        <w:spacing w:after="160" w:line="276" w:lineRule="auto"/>
        <w:jc w:val="both"/>
        <w:rPr>
          <w:rFonts w:cs="Arial"/>
        </w:rPr>
      </w:pPr>
      <w:r w:rsidRPr="00FE54DD">
        <w:rPr>
          <w:rFonts w:cs="Arial"/>
        </w:rPr>
        <w:t xml:space="preserve">As in 2023/24, NHS England will continue to free up Investment and Impact Fund (IIF) funding during 2024/25 to make funds available to PCNs in the form of a Capacity and Access Support Payment (CASP) and a Capacity and Access Improvement Payment (CAIP). There is an expectation that PCNs utilise this funding to support network level activities in a broad range of ways, as outlined in Section 11.2 of the </w:t>
      </w:r>
      <w:hyperlink r:id="rId12" w:history="1">
        <w:r w:rsidRPr="00FE54DD">
          <w:rPr>
            <w:rStyle w:val="Hyperlink"/>
            <w:rFonts w:cs="Arial"/>
          </w:rPr>
          <w:t>Network Contract DES 2024/25 Part B Guidance: Non-clinical</w:t>
        </w:r>
      </w:hyperlink>
      <w:r w:rsidRPr="00FE54DD">
        <w:rPr>
          <w:rFonts w:cs="Arial"/>
        </w:rPr>
        <w:t xml:space="preserve">. PCNs can utilise this funding to support their participation in the </w:t>
      </w:r>
      <w:hyperlink r:id="rId13" w:history="1">
        <w:r w:rsidRPr="00FE54DD">
          <w:rPr>
            <w:rStyle w:val="Hyperlink"/>
            <w:rFonts w:cs="Arial"/>
          </w:rPr>
          <w:t>National General Practice Improvement Programme</w:t>
        </w:r>
      </w:hyperlink>
      <w:r w:rsidRPr="00FE54DD">
        <w:rPr>
          <w:rFonts w:cs="Arial"/>
        </w:rPr>
        <w:t>.</w:t>
      </w:r>
    </w:p>
    <w:p w14:paraId="66507E8F" w14:textId="77777777" w:rsidR="006B5306" w:rsidRDefault="006B5306" w:rsidP="006B5306">
      <w:pPr>
        <w:spacing w:after="160" w:line="276" w:lineRule="auto"/>
        <w:jc w:val="both"/>
        <w:rPr>
          <w:rFonts w:cs="Arial"/>
        </w:rPr>
      </w:pPr>
      <w:r w:rsidRPr="006B5306">
        <w:rPr>
          <w:rFonts w:cs="Arial"/>
        </w:rPr>
        <w:t xml:space="preserve">In 2024/25 PCNs </w:t>
      </w:r>
      <w:r>
        <w:rPr>
          <w:rFonts w:cs="Arial"/>
        </w:rPr>
        <w:t>are</w:t>
      </w:r>
      <w:r w:rsidRPr="006B5306">
        <w:rPr>
          <w:rFonts w:cs="Arial"/>
        </w:rPr>
        <w:t xml:space="preserve"> invited to claim CAIP payments at any point in the year once all practices have completed one</w:t>
      </w:r>
      <w:r>
        <w:rPr>
          <w:rFonts w:cs="Arial"/>
        </w:rPr>
        <w:t>, two or all 3</w:t>
      </w:r>
      <w:r w:rsidRPr="006B5306">
        <w:rPr>
          <w:rFonts w:cs="Arial"/>
        </w:rPr>
        <w:t xml:space="preserve"> of the</w:t>
      </w:r>
      <w:r>
        <w:rPr>
          <w:rFonts w:cs="Arial"/>
        </w:rPr>
        <w:t xml:space="preserve"> following</w:t>
      </w:r>
      <w:r w:rsidRPr="006B5306">
        <w:rPr>
          <w:rFonts w:cs="Arial"/>
        </w:rPr>
        <w:t xml:space="preserve"> elements of the modern general practice operating model.</w:t>
      </w:r>
    </w:p>
    <w:p w14:paraId="391413EF" w14:textId="77777777" w:rsidR="006B5306" w:rsidRDefault="006B5306" w:rsidP="006B5306">
      <w:pPr>
        <w:spacing w:after="160" w:line="276" w:lineRule="auto"/>
        <w:jc w:val="both"/>
        <w:rPr>
          <w:rFonts w:cs="Arial"/>
        </w:rPr>
      </w:pPr>
      <w:r w:rsidRPr="006B5306">
        <w:rPr>
          <w:rFonts w:cs="Arial"/>
        </w:rPr>
        <w:t>1) Better digital telephony</w:t>
      </w:r>
    </w:p>
    <w:p w14:paraId="524D8573" w14:textId="77777777" w:rsidR="006B5306" w:rsidRDefault="006B5306" w:rsidP="006B5306">
      <w:pPr>
        <w:spacing w:after="160" w:line="276" w:lineRule="auto"/>
        <w:jc w:val="both"/>
        <w:rPr>
          <w:rFonts w:cs="Arial"/>
        </w:rPr>
      </w:pPr>
      <w:r w:rsidRPr="006B5306">
        <w:rPr>
          <w:rFonts w:cs="Arial"/>
        </w:rPr>
        <w:t>2) Simpler online requests</w:t>
      </w:r>
    </w:p>
    <w:p w14:paraId="03056D84" w14:textId="77777777" w:rsidR="006B5306" w:rsidRDefault="006B5306" w:rsidP="006B5306">
      <w:pPr>
        <w:spacing w:after="160" w:line="276" w:lineRule="auto"/>
        <w:jc w:val="both"/>
        <w:rPr>
          <w:rFonts w:cs="Arial"/>
        </w:rPr>
      </w:pPr>
      <w:r w:rsidRPr="006B5306">
        <w:rPr>
          <w:rFonts w:cs="Arial"/>
        </w:rPr>
        <w:t>3) Faster care navigation, assessment, and response</w:t>
      </w:r>
    </w:p>
    <w:p w14:paraId="0247012D" w14:textId="77777777" w:rsidR="00FE54DD" w:rsidRDefault="00FE54DD" w:rsidP="006B5306">
      <w:pPr>
        <w:spacing w:after="160" w:line="276" w:lineRule="auto"/>
        <w:jc w:val="both"/>
        <w:rPr>
          <w:rFonts w:cs="Arial"/>
        </w:rPr>
      </w:pPr>
      <w:r w:rsidRPr="00FE54DD">
        <w:rPr>
          <w:rFonts w:cs="Arial"/>
        </w:rPr>
        <w:t xml:space="preserve">PCNs can claim, via the submission of </w:t>
      </w:r>
      <w:r>
        <w:rPr>
          <w:rFonts w:cs="Arial"/>
        </w:rPr>
        <w:t>this NW London Assurance F</w:t>
      </w:r>
      <w:r w:rsidRPr="00FE54DD">
        <w:rPr>
          <w:rFonts w:cs="Arial"/>
        </w:rPr>
        <w:t>orm, at any point in the year once all practices have completed the work.</w:t>
      </w:r>
      <w:r w:rsidR="00657FB2">
        <w:rPr>
          <w:rFonts w:cs="Arial"/>
        </w:rPr>
        <w:t xml:space="preserve">  </w:t>
      </w:r>
      <w:r w:rsidRPr="00657FB2">
        <w:rPr>
          <w:rFonts w:cs="Arial"/>
          <w:u w:val="single"/>
        </w:rPr>
        <w:t xml:space="preserve">Funding </w:t>
      </w:r>
      <w:r w:rsidR="00657FB2" w:rsidRPr="00657FB2">
        <w:rPr>
          <w:rFonts w:cs="Arial"/>
          <w:u w:val="single"/>
        </w:rPr>
        <w:t>will</w:t>
      </w:r>
      <w:r w:rsidRPr="00657FB2">
        <w:rPr>
          <w:rFonts w:cs="Arial"/>
          <w:u w:val="single"/>
        </w:rPr>
        <w:t xml:space="preserve"> </w:t>
      </w:r>
      <w:r w:rsidR="00657FB2" w:rsidRPr="00657FB2">
        <w:rPr>
          <w:rFonts w:cs="Arial"/>
          <w:u w:val="single"/>
        </w:rPr>
        <w:t xml:space="preserve">only </w:t>
      </w:r>
      <w:r w:rsidRPr="00657FB2">
        <w:rPr>
          <w:rFonts w:cs="Arial"/>
          <w:u w:val="single"/>
        </w:rPr>
        <w:t>be released once all practices within a PCN have demonstrated full compliance across a</w:t>
      </w:r>
      <w:r w:rsidR="00124DB7">
        <w:rPr>
          <w:rFonts w:cs="Arial"/>
          <w:u w:val="single"/>
        </w:rPr>
        <w:t>n element</w:t>
      </w:r>
      <w:r w:rsidR="00657FB2" w:rsidRPr="00657FB2">
        <w:rPr>
          <w:rFonts w:cs="Arial"/>
          <w:u w:val="single"/>
        </w:rPr>
        <w:t xml:space="preserve"> via this form.</w:t>
      </w:r>
      <w:r w:rsidR="00124DB7">
        <w:rPr>
          <w:rFonts w:cs="Arial"/>
          <w:u w:val="single"/>
        </w:rPr>
        <w:t xml:space="preserve"> </w:t>
      </w:r>
    </w:p>
    <w:p w14:paraId="7904D2DE" w14:textId="77777777" w:rsidR="00645277" w:rsidRDefault="00FE54DD" w:rsidP="00725649">
      <w:pPr>
        <w:pStyle w:val="PlainText"/>
        <w:spacing w:before="240" w:after="120"/>
        <w:jc w:val="both"/>
        <w:rPr>
          <w:rFonts w:ascii="Arial" w:hAnsi="Arial" w:cs="Arial"/>
          <w:sz w:val="22"/>
          <w:szCs w:val="22"/>
        </w:rPr>
      </w:pPr>
      <w:r>
        <w:rPr>
          <w:rFonts w:ascii="Arial" w:hAnsi="Arial" w:cs="Arial"/>
          <w:sz w:val="22"/>
          <w:szCs w:val="22"/>
        </w:rPr>
        <w:t xml:space="preserve"> </w:t>
      </w:r>
    </w:p>
    <w:p w14:paraId="491A9657" w14:textId="77777777" w:rsidR="00FE54DD" w:rsidRPr="003B117F" w:rsidRDefault="00FE54DD" w:rsidP="00725649">
      <w:pPr>
        <w:pStyle w:val="PlainText"/>
        <w:spacing w:before="240" w:after="120"/>
        <w:jc w:val="both"/>
        <w:rPr>
          <w:rFonts w:ascii="Arial" w:hAnsi="Arial" w:cs="Arial"/>
          <w:sz w:val="22"/>
          <w:szCs w:val="22"/>
        </w:rPr>
      </w:pPr>
    </w:p>
    <w:p w14:paraId="1C065802" w14:textId="77777777" w:rsidR="00657FB2" w:rsidRPr="00F06669" w:rsidRDefault="00B42CCA" w:rsidP="00F06669">
      <w:pPr>
        <w:spacing w:before="240" w:after="120"/>
        <w:jc w:val="both"/>
        <w:rPr>
          <w:rFonts w:eastAsiaTheme="minorHAnsi" w:cs="Arial"/>
          <w:b/>
          <w:szCs w:val="22"/>
          <w:lang w:eastAsia="en-US"/>
        </w:rPr>
        <w:sectPr w:rsidR="00657FB2" w:rsidRPr="00F06669" w:rsidSect="00E32495">
          <w:headerReference w:type="default" r:id="rId14"/>
          <w:headerReference w:type="first" r:id="rId15"/>
          <w:footerReference w:type="first" r:id="rId16"/>
          <w:pgSz w:w="11906" w:h="16838"/>
          <w:pgMar w:top="1440" w:right="1440" w:bottom="1440" w:left="1440" w:header="1020" w:footer="708" w:gutter="0"/>
          <w:cols w:space="708"/>
          <w:titlePg/>
          <w:docGrid w:linePitch="360"/>
        </w:sectPr>
      </w:pPr>
      <w:r w:rsidRPr="00657FB2">
        <w:rPr>
          <w:rFonts w:eastAsiaTheme="minorHAnsi" w:cs="Arial"/>
          <w:b/>
          <w:szCs w:val="22"/>
          <w:lang w:eastAsia="en-US"/>
        </w:rPr>
        <w:t>Please return this form to</w:t>
      </w:r>
      <w:r w:rsidR="00657FB2" w:rsidRPr="00657FB2">
        <w:rPr>
          <w:rFonts w:eastAsiaTheme="minorHAnsi" w:cs="Arial"/>
          <w:b/>
          <w:szCs w:val="22"/>
          <w:lang w:eastAsia="en-US"/>
        </w:rPr>
        <w:t xml:space="preserve"> </w:t>
      </w:r>
      <w:hyperlink r:id="rId17" w:history="1">
        <w:proofErr w:type="spellStart"/>
        <w:r w:rsidR="006E4D5B" w:rsidRPr="006E4D5B">
          <w:rPr>
            <w:rStyle w:val="Hyperlink"/>
            <w:rFonts w:eastAsiaTheme="minorHAnsi" w:cs="Arial"/>
            <w:b/>
            <w:szCs w:val="22"/>
            <w:highlight w:val="yellow"/>
            <w:lang w:eastAsia="en-US"/>
          </w:rPr>
          <w:t>xxxxxxxx</w:t>
        </w:r>
        <w:proofErr w:type="spellEnd"/>
      </w:hyperlink>
      <w:r w:rsidR="00F06669">
        <w:rPr>
          <w:rFonts w:eastAsiaTheme="minorHAnsi" w:cs="Arial"/>
          <w:b/>
          <w:szCs w:val="22"/>
          <w:lang w:eastAsia="en-US"/>
        </w:rPr>
        <w:t xml:space="preserve"> at your earliest convenience.</w:t>
      </w:r>
    </w:p>
    <w:p w14:paraId="3A6AF462" w14:textId="77777777" w:rsidR="007846DA" w:rsidRDefault="003812A0" w:rsidP="00F06669">
      <w:pPr>
        <w:pStyle w:val="Heading2"/>
        <w:jc w:val="both"/>
        <w:rPr>
          <w:sz w:val="24"/>
          <w:szCs w:val="24"/>
        </w:rPr>
      </w:pPr>
      <w:r w:rsidRPr="00D05CFA">
        <w:rPr>
          <w:sz w:val="24"/>
          <w:szCs w:val="24"/>
        </w:rPr>
        <w:t>SECT</w:t>
      </w:r>
      <w:r w:rsidR="00B42CCA" w:rsidRPr="00D05CFA">
        <w:rPr>
          <w:sz w:val="24"/>
          <w:szCs w:val="24"/>
        </w:rPr>
        <w:t>ION 1</w:t>
      </w:r>
      <w:r w:rsidRPr="00D05CFA">
        <w:rPr>
          <w:sz w:val="24"/>
          <w:szCs w:val="24"/>
        </w:rPr>
        <w:t xml:space="preserve">: </w:t>
      </w:r>
      <w:r w:rsidR="006B5306">
        <w:rPr>
          <w:sz w:val="24"/>
          <w:szCs w:val="24"/>
        </w:rPr>
        <w:t>BETTER DIGITAL TELEPHONY</w:t>
      </w:r>
    </w:p>
    <w:p w14:paraId="342E1B29" w14:textId="77777777" w:rsidR="00657FB2" w:rsidRPr="00657FB2" w:rsidRDefault="00657FB2" w:rsidP="00657FB2">
      <w:pPr>
        <w:rPr>
          <w:rFonts w:eastAsia="Calibri"/>
          <w:color w:val="231F20"/>
          <w:sz w:val="24"/>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5386"/>
        <w:gridCol w:w="5954"/>
        <w:gridCol w:w="1701"/>
      </w:tblGrid>
      <w:tr w:rsidR="00F06669" w:rsidRPr="00657FB2" w14:paraId="284EF571" w14:textId="77777777" w:rsidTr="00F06669">
        <w:trPr>
          <w:trHeight w:val="716"/>
        </w:trPr>
        <w:tc>
          <w:tcPr>
            <w:tcW w:w="1555" w:type="dxa"/>
            <w:shd w:val="clear" w:color="auto" w:fill="4F81BD" w:themeFill="accent1"/>
            <w:vAlign w:val="center"/>
          </w:tcPr>
          <w:p w14:paraId="67D4B947" w14:textId="77777777" w:rsidR="00F06669" w:rsidRPr="00657FB2" w:rsidRDefault="00F06669" w:rsidP="00F06669">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Domain</w:t>
            </w:r>
          </w:p>
          <w:p w14:paraId="66D4BA46" w14:textId="77777777" w:rsidR="00F06669" w:rsidRPr="00657FB2" w:rsidRDefault="00F06669" w:rsidP="00F06669">
            <w:pPr>
              <w:spacing w:after="160" w:line="276" w:lineRule="auto"/>
              <w:rPr>
                <w:rFonts w:eastAsia="Calibri" w:cs="Arial"/>
                <w:b/>
                <w:bCs/>
                <w:i/>
                <w:iCs/>
                <w:color w:val="FFFFFF"/>
                <w:sz w:val="21"/>
                <w:szCs w:val="21"/>
                <w:lang w:eastAsia="en-US"/>
              </w:rPr>
            </w:pPr>
            <w:r w:rsidRPr="00657FB2">
              <w:rPr>
                <w:rFonts w:eastAsia="Calibri"/>
                <w:i/>
                <w:iCs/>
                <w:color w:val="FFFFFF"/>
                <w:sz w:val="21"/>
                <w:szCs w:val="21"/>
                <w:lang w:eastAsia="en-US"/>
              </w:rPr>
              <w:t>MGPA priority domain</w:t>
            </w:r>
          </w:p>
        </w:tc>
        <w:tc>
          <w:tcPr>
            <w:tcW w:w="5386" w:type="dxa"/>
            <w:shd w:val="clear" w:color="auto" w:fill="4F81BD" w:themeFill="accent1"/>
            <w:vAlign w:val="center"/>
          </w:tcPr>
          <w:p w14:paraId="09FAF556" w14:textId="77777777" w:rsidR="00F06669" w:rsidRPr="00657FB2" w:rsidRDefault="00F06669" w:rsidP="00F06669">
            <w:pPr>
              <w:spacing w:after="160" w:line="276" w:lineRule="auto"/>
              <w:rPr>
                <w:rFonts w:eastAsia="Calibri" w:cs="Arial"/>
                <w:i/>
                <w:iCs/>
                <w:color w:val="FFFFFF"/>
                <w:sz w:val="21"/>
                <w:szCs w:val="21"/>
                <w:lang w:eastAsia="en-US"/>
              </w:rPr>
            </w:pPr>
            <w:r w:rsidRPr="00657FB2">
              <w:rPr>
                <w:rFonts w:eastAsia="Calibri" w:cs="Arial"/>
                <w:b/>
                <w:bCs/>
                <w:color w:val="FFFFFF"/>
                <w:sz w:val="21"/>
                <w:szCs w:val="21"/>
                <w:lang w:eastAsia="en-US"/>
              </w:rPr>
              <w:t xml:space="preserve">Assessment criteria (as per Part B Guidance: Non-clinical) </w:t>
            </w:r>
            <w:r w:rsidRPr="00657FB2">
              <w:rPr>
                <w:rFonts w:eastAsia="Calibri" w:cs="Arial"/>
                <w:i/>
                <w:iCs/>
                <w:color w:val="FFFFFF"/>
                <w:sz w:val="21"/>
                <w:szCs w:val="21"/>
                <w:lang w:eastAsia="en-US"/>
              </w:rPr>
              <w:t>All PCN practices to have following components in place and these continue to remain in place</w:t>
            </w:r>
          </w:p>
        </w:tc>
        <w:tc>
          <w:tcPr>
            <w:tcW w:w="5954" w:type="dxa"/>
            <w:shd w:val="clear" w:color="auto" w:fill="4F81BD" w:themeFill="accent1"/>
            <w:vAlign w:val="center"/>
          </w:tcPr>
          <w:p w14:paraId="7BA298EA" w14:textId="77777777" w:rsidR="00F06669" w:rsidRPr="00657FB2" w:rsidRDefault="00F06669" w:rsidP="00F06669">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Expectation / Clarification</w:t>
            </w:r>
          </w:p>
        </w:tc>
        <w:tc>
          <w:tcPr>
            <w:tcW w:w="1701" w:type="dxa"/>
            <w:shd w:val="clear" w:color="auto" w:fill="4F81BD" w:themeFill="accent1"/>
          </w:tcPr>
          <w:p w14:paraId="27D13D73" w14:textId="77777777" w:rsidR="00F06669" w:rsidRDefault="00F06669" w:rsidP="00F06669">
            <w:pPr>
              <w:spacing w:after="160" w:line="276" w:lineRule="auto"/>
              <w:jc w:val="center"/>
              <w:rPr>
                <w:rFonts w:eastAsia="Calibri" w:cs="Arial"/>
                <w:b/>
                <w:bCs/>
                <w:color w:val="FFFFFF"/>
                <w:sz w:val="21"/>
                <w:szCs w:val="21"/>
                <w:lang w:eastAsia="en-US"/>
              </w:rPr>
            </w:pPr>
            <w:r>
              <w:rPr>
                <w:rFonts w:eastAsia="Calibri" w:cs="Arial"/>
                <w:b/>
                <w:bCs/>
                <w:color w:val="FFFFFF"/>
                <w:sz w:val="21"/>
                <w:szCs w:val="21"/>
                <w:lang w:eastAsia="en-US"/>
              </w:rPr>
              <w:t>All actions complete for all PCN Practices</w:t>
            </w:r>
          </w:p>
          <w:p w14:paraId="212F2298" w14:textId="77777777" w:rsidR="00F06669" w:rsidRPr="00657FB2" w:rsidRDefault="00F06669" w:rsidP="00F06669">
            <w:pPr>
              <w:spacing w:after="160" w:line="276" w:lineRule="auto"/>
              <w:jc w:val="center"/>
              <w:rPr>
                <w:rFonts w:eastAsia="Calibri" w:cs="Arial"/>
                <w:b/>
                <w:bCs/>
                <w:color w:val="FFFFFF"/>
                <w:sz w:val="21"/>
                <w:szCs w:val="21"/>
                <w:lang w:eastAsia="en-US"/>
              </w:rPr>
            </w:pPr>
            <w:r>
              <w:rPr>
                <w:rFonts w:eastAsia="Calibri" w:cs="Arial"/>
                <w:b/>
                <w:bCs/>
                <w:color w:val="FFFFFF"/>
                <w:sz w:val="21"/>
                <w:szCs w:val="21"/>
                <w:lang w:eastAsia="en-US"/>
              </w:rPr>
              <w:t>Y/N</w:t>
            </w:r>
          </w:p>
        </w:tc>
      </w:tr>
      <w:tr w:rsidR="00F06669" w:rsidRPr="00657FB2" w14:paraId="2B346D88" w14:textId="77777777" w:rsidTr="00F06669">
        <w:trPr>
          <w:trHeight w:val="210"/>
        </w:trPr>
        <w:tc>
          <w:tcPr>
            <w:tcW w:w="1555" w:type="dxa"/>
            <w:vMerge w:val="restart"/>
          </w:tcPr>
          <w:p w14:paraId="782AA9D1" w14:textId="77777777" w:rsidR="00F06669" w:rsidRPr="001E7A23" w:rsidRDefault="001E7A23" w:rsidP="001E7A23">
            <w:pPr>
              <w:spacing w:after="160" w:line="276" w:lineRule="auto"/>
              <w:rPr>
                <w:rFonts w:eastAsia="Calibri" w:cs="Arial"/>
                <w:b/>
                <w:bCs/>
                <w:color w:val="231F20"/>
                <w:sz w:val="21"/>
                <w:szCs w:val="21"/>
                <w:lang w:eastAsia="en-US"/>
              </w:rPr>
            </w:pPr>
            <w:r>
              <w:rPr>
                <w:rFonts w:eastAsia="Calibri" w:cs="Arial"/>
                <w:b/>
                <w:bCs/>
                <w:color w:val="231F20"/>
                <w:sz w:val="21"/>
                <w:szCs w:val="21"/>
                <w:lang w:eastAsia="en-US"/>
              </w:rPr>
              <w:t>1.</w:t>
            </w:r>
            <w:r w:rsidR="00F06669" w:rsidRPr="001E7A23">
              <w:rPr>
                <w:rFonts w:eastAsia="Calibri" w:cs="Arial"/>
                <w:b/>
                <w:bCs/>
                <w:color w:val="231F20"/>
                <w:sz w:val="21"/>
                <w:szCs w:val="21"/>
                <w:lang w:eastAsia="en-US"/>
              </w:rPr>
              <w:t>Better digital telephony</w:t>
            </w:r>
          </w:p>
          <w:p w14:paraId="17C1B8DB" w14:textId="77777777" w:rsidR="001E7A23" w:rsidRDefault="001E7A23" w:rsidP="001E7A23">
            <w:pPr>
              <w:spacing w:after="160" w:line="276" w:lineRule="auto"/>
              <w:rPr>
                <w:rFonts w:eastAsia="Calibri" w:cs="Arial"/>
                <w:b/>
                <w:bCs/>
                <w:color w:val="231F20"/>
                <w:sz w:val="21"/>
                <w:szCs w:val="21"/>
                <w:lang w:eastAsia="en-US"/>
              </w:rPr>
            </w:pPr>
            <w:r>
              <w:rPr>
                <w:rFonts w:eastAsia="Calibri" w:cs="Arial"/>
                <w:b/>
                <w:bCs/>
                <w:color w:val="231F20"/>
                <w:sz w:val="21"/>
                <w:szCs w:val="21"/>
                <w:lang w:eastAsia="en-US"/>
              </w:rPr>
              <w:t>Guidance:</w:t>
            </w:r>
          </w:p>
          <w:p w14:paraId="7DDD5BAF" w14:textId="77777777" w:rsidR="001E7A23" w:rsidRPr="001E7A23" w:rsidRDefault="00194D35" w:rsidP="001E7A23">
            <w:pPr>
              <w:spacing w:after="160" w:line="276" w:lineRule="auto"/>
              <w:rPr>
                <w:rFonts w:eastAsia="Calibri" w:cs="Arial"/>
                <w:b/>
                <w:bCs/>
                <w:color w:val="231F20"/>
                <w:sz w:val="21"/>
                <w:szCs w:val="21"/>
                <w:lang w:eastAsia="en-US"/>
              </w:rPr>
            </w:pPr>
            <w:hyperlink r:id="rId18" w:history="1">
              <w:r w:rsidR="001E7A23">
                <w:rPr>
                  <w:rStyle w:val="Hyperlink"/>
                  <w:rFonts w:eastAsia="Calibri" w:cs="Arial"/>
                  <w:b/>
                  <w:bCs/>
                  <w:sz w:val="21"/>
                  <w:szCs w:val="21"/>
                  <w:lang w:eastAsia="en-US"/>
                </w:rPr>
                <w:t>how-to-improve-telephone-journeys-in-general-practice</w:t>
              </w:r>
            </w:hyperlink>
            <w:r w:rsidR="001E7A23">
              <w:rPr>
                <w:rFonts w:eastAsia="Calibri" w:cs="Arial"/>
                <w:b/>
                <w:bCs/>
                <w:color w:val="231F20"/>
                <w:sz w:val="21"/>
                <w:szCs w:val="21"/>
                <w:lang w:eastAsia="en-US"/>
              </w:rPr>
              <w:t xml:space="preserve"> </w:t>
            </w:r>
          </w:p>
        </w:tc>
        <w:tc>
          <w:tcPr>
            <w:tcW w:w="5386" w:type="dxa"/>
          </w:tcPr>
          <w:p w14:paraId="30133645" w14:textId="26C0E595" w:rsidR="00F06669" w:rsidRPr="00657FB2" w:rsidRDefault="00F06669" w:rsidP="00F06669">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Digital telephony solution implemented, including call back functionality</w:t>
            </w:r>
            <w:r w:rsidR="00C80483">
              <w:rPr>
                <w:rFonts w:eastAsia="Calibri" w:cs="Arial"/>
                <w:color w:val="231F20"/>
                <w:sz w:val="21"/>
                <w:szCs w:val="21"/>
                <w:lang w:eastAsia="en-US"/>
              </w:rPr>
              <w:t>*</w:t>
            </w:r>
          </w:p>
          <w:p w14:paraId="6C15CBE8" w14:textId="77777777" w:rsidR="00F06669" w:rsidRPr="00657FB2" w:rsidRDefault="00F06669" w:rsidP="00F06669">
            <w:pPr>
              <w:spacing w:after="160" w:line="276" w:lineRule="auto"/>
              <w:rPr>
                <w:rFonts w:eastAsia="Calibri" w:cs="Arial"/>
                <w:i/>
                <w:iCs/>
                <w:color w:val="231F20"/>
                <w:sz w:val="21"/>
                <w:szCs w:val="21"/>
                <w:lang w:eastAsia="en-US"/>
              </w:rPr>
            </w:pPr>
            <w:r w:rsidRPr="00657FB2">
              <w:rPr>
                <w:rFonts w:eastAsia="Calibri" w:cs="Arial"/>
                <w:i/>
                <w:iCs/>
                <w:color w:val="231F20"/>
                <w:sz w:val="21"/>
                <w:szCs w:val="21"/>
                <w:lang w:eastAsia="en-US"/>
              </w:rPr>
              <w:t xml:space="preserve">An important component of the Modern General Practice Model is to support patients access care in the most appropriate clinical setting. For those with a general practice disposition, this would be within general practice, where possible. </w:t>
            </w:r>
          </w:p>
        </w:tc>
        <w:tc>
          <w:tcPr>
            <w:tcW w:w="5954" w:type="dxa"/>
          </w:tcPr>
          <w:p w14:paraId="1B3C7121" w14:textId="77777777" w:rsidR="00F06669" w:rsidRPr="00657FB2" w:rsidRDefault="00F06669" w:rsidP="00F06669">
            <w:pPr>
              <w:numPr>
                <w:ilvl w:val="0"/>
                <w:numId w:val="39"/>
              </w:numPr>
              <w:contextualSpacing/>
              <w:rPr>
                <w:rFonts w:eastAsia="Calibri" w:cs="Arial"/>
                <w:color w:val="231F20"/>
                <w:sz w:val="21"/>
                <w:szCs w:val="21"/>
                <w:lang w:eastAsia="en-US"/>
              </w:rPr>
            </w:pPr>
            <w:r w:rsidRPr="00657FB2">
              <w:rPr>
                <w:rFonts w:eastAsia="Calibri" w:cs="Arial"/>
                <w:color w:val="231F20"/>
                <w:sz w:val="21"/>
                <w:szCs w:val="21"/>
                <w:lang w:eastAsia="en-US"/>
              </w:rPr>
              <w:t>All Phase 1 practices expected to have digital telephony embedded by July 24. Dates for Phase 2 practice system scheduled updates are currently being finalised</w:t>
            </w:r>
          </w:p>
          <w:p w14:paraId="78CCBD67" w14:textId="77777777" w:rsidR="00F06669" w:rsidRPr="00657FB2" w:rsidRDefault="00F06669" w:rsidP="00F06669">
            <w:pPr>
              <w:numPr>
                <w:ilvl w:val="0"/>
                <w:numId w:val="39"/>
              </w:numPr>
              <w:contextualSpacing/>
              <w:rPr>
                <w:rFonts w:eastAsia="Calibri" w:cs="Arial"/>
                <w:color w:val="231F20"/>
                <w:sz w:val="21"/>
                <w:szCs w:val="21"/>
                <w:lang w:eastAsia="en-US"/>
              </w:rPr>
            </w:pPr>
            <w:r w:rsidRPr="00657FB2">
              <w:rPr>
                <w:rFonts w:eastAsia="Calibri" w:cs="Arial"/>
                <w:color w:val="231F20"/>
                <w:sz w:val="21"/>
                <w:szCs w:val="21"/>
                <w:lang w:eastAsia="en-US"/>
              </w:rPr>
              <w:t xml:space="preserve">Payment will only be released once criteria has been met for all practices within a PCN, even if delays result from supplier / procurement hub capacity </w:t>
            </w:r>
          </w:p>
          <w:p w14:paraId="618AFE05" w14:textId="77777777" w:rsidR="00F06669" w:rsidRPr="00657FB2" w:rsidRDefault="00F06669" w:rsidP="00F06669">
            <w:pPr>
              <w:numPr>
                <w:ilvl w:val="0"/>
                <w:numId w:val="39"/>
              </w:numPr>
              <w:contextualSpacing/>
              <w:rPr>
                <w:rFonts w:eastAsia="Calibri" w:cs="Arial"/>
                <w:color w:val="231F20"/>
                <w:sz w:val="21"/>
                <w:szCs w:val="21"/>
                <w:lang w:eastAsia="en-US"/>
              </w:rPr>
            </w:pPr>
            <w:r w:rsidRPr="00657FB2">
              <w:rPr>
                <w:rFonts w:eastAsia="Calibri" w:cs="Arial"/>
                <w:color w:val="231F20"/>
                <w:sz w:val="21"/>
                <w:szCs w:val="21"/>
                <w:lang w:eastAsia="en-US"/>
              </w:rPr>
              <w:t>If any practice does not transition to move to a product on the national framework, PCN will not be eligible for this component of the CAIP payment</w:t>
            </w:r>
          </w:p>
        </w:tc>
        <w:tc>
          <w:tcPr>
            <w:tcW w:w="1701" w:type="dxa"/>
          </w:tcPr>
          <w:p w14:paraId="2C3FEB59" w14:textId="77777777" w:rsidR="00F06669" w:rsidRPr="00657FB2" w:rsidRDefault="00F06669" w:rsidP="00F06669">
            <w:pPr>
              <w:contextualSpacing/>
              <w:rPr>
                <w:rFonts w:eastAsia="Calibri" w:cs="Arial"/>
                <w:color w:val="231F20"/>
                <w:sz w:val="21"/>
                <w:szCs w:val="21"/>
                <w:lang w:eastAsia="en-US"/>
              </w:rPr>
            </w:pPr>
          </w:p>
        </w:tc>
      </w:tr>
      <w:tr w:rsidR="00F06669" w:rsidRPr="00657FB2" w14:paraId="76B577BE" w14:textId="77777777" w:rsidTr="00F06669">
        <w:trPr>
          <w:trHeight w:val="790"/>
        </w:trPr>
        <w:tc>
          <w:tcPr>
            <w:tcW w:w="1555" w:type="dxa"/>
            <w:vMerge/>
          </w:tcPr>
          <w:p w14:paraId="155AB6BA" w14:textId="77777777" w:rsidR="00F06669" w:rsidRPr="00657FB2" w:rsidRDefault="00F06669" w:rsidP="00F06669">
            <w:pPr>
              <w:spacing w:after="160" w:line="276" w:lineRule="auto"/>
              <w:rPr>
                <w:rFonts w:eastAsia="Calibri" w:cs="Arial"/>
                <w:b/>
                <w:bCs/>
                <w:color w:val="231F20"/>
                <w:sz w:val="21"/>
                <w:szCs w:val="21"/>
                <w:lang w:eastAsia="en-US"/>
              </w:rPr>
            </w:pPr>
          </w:p>
        </w:tc>
        <w:tc>
          <w:tcPr>
            <w:tcW w:w="5386" w:type="dxa"/>
          </w:tcPr>
          <w:p w14:paraId="5420B983" w14:textId="51345B72" w:rsidR="00F06669" w:rsidRPr="00657FB2" w:rsidRDefault="00F06669" w:rsidP="00F06669">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 xml:space="preserve">Each practice has agreed to comply with the Data Provision Notice </w:t>
            </w:r>
            <w:r>
              <w:rPr>
                <w:rFonts w:eastAsia="Calibri" w:cs="Arial"/>
                <w:color w:val="231F20"/>
                <w:sz w:val="21"/>
                <w:szCs w:val="21"/>
                <w:lang w:eastAsia="en-US"/>
              </w:rPr>
              <w:t xml:space="preserve">(DPN) </w:t>
            </w:r>
            <w:r w:rsidRPr="00657FB2">
              <w:rPr>
                <w:rFonts w:eastAsia="Calibri" w:cs="Arial"/>
                <w:color w:val="231F20"/>
                <w:sz w:val="21"/>
                <w:szCs w:val="21"/>
                <w:lang w:eastAsia="en-US"/>
              </w:rPr>
              <w:t xml:space="preserve">so that data can be provided by the supplier to NHS </w:t>
            </w:r>
            <w:proofErr w:type="gramStart"/>
            <w:r w:rsidRPr="00657FB2">
              <w:rPr>
                <w:rFonts w:eastAsia="Calibri" w:cs="Arial"/>
                <w:color w:val="231F20"/>
                <w:sz w:val="21"/>
                <w:szCs w:val="21"/>
                <w:lang w:eastAsia="en-US"/>
              </w:rPr>
              <w:t>England.</w:t>
            </w:r>
            <w:r w:rsidR="00C80483">
              <w:rPr>
                <w:rFonts w:eastAsia="Calibri" w:cs="Arial"/>
                <w:color w:val="231F20"/>
                <w:sz w:val="21"/>
                <w:szCs w:val="21"/>
                <w:lang w:eastAsia="en-US"/>
              </w:rPr>
              <w:t>*</w:t>
            </w:r>
            <w:proofErr w:type="gramEnd"/>
          </w:p>
        </w:tc>
        <w:tc>
          <w:tcPr>
            <w:tcW w:w="5954" w:type="dxa"/>
          </w:tcPr>
          <w:p w14:paraId="0679BC6C" w14:textId="77777777" w:rsidR="00F06669" w:rsidRPr="006B5306" w:rsidRDefault="00F06669" w:rsidP="00F06669">
            <w:pPr>
              <w:pStyle w:val="ListParagraph"/>
              <w:numPr>
                <w:ilvl w:val="0"/>
                <w:numId w:val="39"/>
              </w:numPr>
              <w:spacing w:after="160" w:line="276" w:lineRule="auto"/>
              <w:rPr>
                <w:rFonts w:eastAsia="Calibri" w:cs="Arial"/>
                <w:color w:val="231F20"/>
                <w:sz w:val="21"/>
                <w:szCs w:val="21"/>
                <w:lang w:eastAsia="en-US"/>
              </w:rPr>
            </w:pPr>
            <w:r w:rsidRPr="006B5306">
              <w:rPr>
                <w:rFonts w:eastAsia="Calibri" w:cs="Arial"/>
                <w:color w:val="231F20"/>
                <w:sz w:val="21"/>
                <w:szCs w:val="21"/>
                <w:lang w:eastAsia="en-US"/>
              </w:rPr>
              <w:t xml:space="preserve">Where DPN is in </w:t>
            </w:r>
            <w:proofErr w:type="gramStart"/>
            <w:r w:rsidRPr="006B5306">
              <w:rPr>
                <w:rFonts w:eastAsia="Calibri" w:cs="Arial"/>
                <w:color w:val="231F20"/>
                <w:sz w:val="21"/>
                <w:szCs w:val="21"/>
                <w:lang w:eastAsia="en-US"/>
              </w:rPr>
              <w:t>place</w:t>
            </w:r>
            <w:proofErr w:type="gramEnd"/>
            <w:r w:rsidRPr="006B5306">
              <w:rPr>
                <w:rFonts w:eastAsia="Calibri" w:cs="Arial"/>
                <w:color w:val="231F20"/>
                <w:sz w:val="21"/>
                <w:szCs w:val="21"/>
                <w:lang w:eastAsia="en-US"/>
              </w:rPr>
              <w:t xml:space="preserve"> but data is not flowing to NHS England, practice / PCN is expected to support commissioners / NHS England to resolve (where possible)</w:t>
            </w:r>
          </w:p>
        </w:tc>
        <w:tc>
          <w:tcPr>
            <w:tcW w:w="1701" w:type="dxa"/>
          </w:tcPr>
          <w:p w14:paraId="073E28F2" w14:textId="77777777" w:rsidR="00F06669" w:rsidRPr="00F06669" w:rsidRDefault="00F06669" w:rsidP="00F06669">
            <w:pPr>
              <w:spacing w:after="160" w:line="276" w:lineRule="auto"/>
              <w:rPr>
                <w:rFonts w:eastAsia="Calibri" w:cs="Arial"/>
                <w:color w:val="231F20"/>
                <w:sz w:val="21"/>
                <w:szCs w:val="21"/>
                <w:lang w:eastAsia="en-US"/>
              </w:rPr>
            </w:pPr>
          </w:p>
        </w:tc>
      </w:tr>
      <w:tr w:rsidR="00F06669" w:rsidRPr="00657FB2" w14:paraId="2E29AC21" w14:textId="77777777" w:rsidTr="00F06669">
        <w:trPr>
          <w:trHeight w:val="890"/>
        </w:trPr>
        <w:tc>
          <w:tcPr>
            <w:tcW w:w="1555" w:type="dxa"/>
            <w:vMerge/>
          </w:tcPr>
          <w:p w14:paraId="2ABFBE31" w14:textId="77777777" w:rsidR="00F06669" w:rsidRPr="00657FB2" w:rsidRDefault="00F06669" w:rsidP="00F06669">
            <w:pPr>
              <w:spacing w:after="160" w:line="276" w:lineRule="auto"/>
              <w:rPr>
                <w:rFonts w:eastAsia="Calibri" w:cs="Arial"/>
                <w:b/>
                <w:bCs/>
                <w:color w:val="231F20"/>
                <w:sz w:val="21"/>
                <w:szCs w:val="21"/>
                <w:lang w:eastAsia="en-US"/>
              </w:rPr>
            </w:pPr>
          </w:p>
        </w:tc>
        <w:tc>
          <w:tcPr>
            <w:tcW w:w="5386" w:type="dxa"/>
          </w:tcPr>
          <w:p w14:paraId="18F0358B" w14:textId="77777777" w:rsidR="00F06669" w:rsidRPr="00657FB2" w:rsidRDefault="00F06669" w:rsidP="00F06669">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Digital telephony data is routinely used to support capacity/demand service planning and quality improvement discussions.</w:t>
            </w:r>
          </w:p>
        </w:tc>
        <w:tc>
          <w:tcPr>
            <w:tcW w:w="5954" w:type="dxa"/>
          </w:tcPr>
          <w:p w14:paraId="5242E3DF" w14:textId="77777777" w:rsidR="00F06669" w:rsidRPr="00E10348" w:rsidRDefault="00F06669" w:rsidP="00F06669">
            <w:pPr>
              <w:pStyle w:val="ListParagraph"/>
              <w:numPr>
                <w:ilvl w:val="0"/>
                <w:numId w:val="39"/>
              </w:numPr>
              <w:spacing w:after="160" w:line="276" w:lineRule="auto"/>
              <w:rPr>
                <w:rFonts w:eastAsia="Calibri" w:cs="Arial"/>
                <w:i/>
                <w:color w:val="231F20"/>
                <w:sz w:val="21"/>
                <w:szCs w:val="21"/>
                <w:lang w:eastAsia="en-US"/>
              </w:rPr>
            </w:pPr>
            <w:r w:rsidRPr="00F06669">
              <w:rPr>
                <w:rFonts w:eastAsia="Calibri" w:cs="Arial"/>
                <w:i/>
                <w:color w:val="231F20"/>
                <w:sz w:val="21"/>
                <w:szCs w:val="21"/>
                <w:highlight w:val="yellow"/>
                <w:lang w:eastAsia="en-US"/>
              </w:rPr>
              <w:t>Include Free text description of PCN approach</w:t>
            </w:r>
          </w:p>
        </w:tc>
        <w:tc>
          <w:tcPr>
            <w:tcW w:w="1701" w:type="dxa"/>
          </w:tcPr>
          <w:p w14:paraId="6B2CBBB3" w14:textId="77777777" w:rsidR="00F06669" w:rsidRPr="00F06669" w:rsidRDefault="00F06669" w:rsidP="00F06669">
            <w:pPr>
              <w:spacing w:after="160" w:line="276" w:lineRule="auto"/>
              <w:rPr>
                <w:rFonts w:eastAsia="Calibri" w:cs="Arial"/>
                <w:i/>
                <w:color w:val="231F20"/>
                <w:sz w:val="21"/>
                <w:szCs w:val="21"/>
                <w:highlight w:val="yellow"/>
                <w:lang w:eastAsia="en-US"/>
              </w:rPr>
            </w:pPr>
          </w:p>
        </w:tc>
      </w:tr>
    </w:tbl>
    <w:p w14:paraId="0FBD2943" w14:textId="77777777" w:rsidR="00657FB2" w:rsidRPr="00657FB2" w:rsidRDefault="00657FB2" w:rsidP="00657FB2">
      <w:pPr>
        <w:rPr>
          <w:rFonts w:eastAsia="Calibri"/>
          <w:color w:val="231F20"/>
          <w:sz w:val="24"/>
          <w:lang w:eastAsia="en-US"/>
        </w:rPr>
      </w:pPr>
    </w:p>
    <w:p w14:paraId="66E49673" w14:textId="77777777" w:rsidR="00657FB2" w:rsidRPr="00657FB2" w:rsidRDefault="00657FB2" w:rsidP="00657FB2">
      <w:pPr>
        <w:rPr>
          <w:rFonts w:eastAsia="Calibri"/>
          <w:color w:val="231F20"/>
          <w:sz w:val="21"/>
          <w:szCs w:val="21"/>
          <w:lang w:eastAsia="en-US"/>
        </w:rPr>
      </w:pPr>
      <w:r w:rsidRPr="00657FB2">
        <w:rPr>
          <w:rFonts w:eastAsia="Calibri"/>
          <w:color w:val="231F20"/>
          <w:sz w:val="21"/>
          <w:szCs w:val="21"/>
          <w:lang w:eastAsia="en-US"/>
        </w:rPr>
        <w:t>Please describe the PCN approach to using digital telephony data to support capacity/demand service planning and quality improvement (e.g. logged in to the system regularly and reviewing data)</w:t>
      </w:r>
      <w:r w:rsidRPr="00657FB2">
        <w:rPr>
          <w:rFonts w:eastAsia="Calibri"/>
          <w:color w:val="231F20"/>
          <w:sz w:val="24"/>
          <w:lang w:eastAsia="en-US"/>
        </w:rPr>
        <w:t xml:space="preserve"> </w:t>
      </w:r>
      <w:r w:rsidRPr="00657FB2">
        <w:rPr>
          <w:rFonts w:eastAsia="Calibri"/>
          <w:i/>
          <w:iCs/>
          <w:color w:val="231F20"/>
          <w:sz w:val="21"/>
          <w:szCs w:val="21"/>
          <w:lang w:eastAsia="en-US"/>
        </w:rPr>
        <w:t>(NB</w:t>
      </w:r>
      <w:r w:rsidR="006B5306">
        <w:rPr>
          <w:rFonts w:eastAsia="Calibri"/>
          <w:i/>
          <w:iCs/>
          <w:color w:val="231F20"/>
          <w:sz w:val="21"/>
          <w:szCs w:val="21"/>
          <w:lang w:eastAsia="en-US"/>
        </w:rPr>
        <w:t xml:space="preserve"> Where approaches differ between </w:t>
      </w:r>
      <w:proofErr w:type="gramStart"/>
      <w:r w:rsidR="006B5306">
        <w:rPr>
          <w:rFonts w:eastAsia="Calibri"/>
          <w:i/>
          <w:iCs/>
          <w:color w:val="231F20"/>
          <w:sz w:val="21"/>
          <w:szCs w:val="21"/>
          <w:lang w:eastAsia="en-US"/>
        </w:rPr>
        <w:t>practices</w:t>
      </w:r>
      <w:proofErr w:type="gramEnd"/>
      <w:r w:rsidR="006B5306">
        <w:rPr>
          <w:rFonts w:eastAsia="Calibri"/>
          <w:i/>
          <w:iCs/>
          <w:color w:val="231F20"/>
          <w:sz w:val="21"/>
          <w:szCs w:val="21"/>
          <w:lang w:eastAsia="en-US"/>
        </w:rPr>
        <w:t xml:space="preserve"> please </w:t>
      </w:r>
      <w:r w:rsidRPr="00657FB2">
        <w:rPr>
          <w:rFonts w:eastAsia="Calibri"/>
          <w:i/>
          <w:iCs/>
          <w:color w:val="231F20"/>
          <w:sz w:val="21"/>
          <w:szCs w:val="21"/>
          <w:lang w:eastAsia="en-US"/>
        </w:rPr>
        <w:t>outline the approach of each practice to using telephony data to support capacity/demand service planning</w:t>
      </w:r>
      <w:r w:rsidR="006B5306">
        <w:rPr>
          <w:rFonts w:eastAsia="Calibri"/>
          <w:i/>
          <w:iCs/>
          <w:color w:val="231F20"/>
          <w:sz w:val="21"/>
          <w:szCs w:val="21"/>
          <w:lang w:eastAsia="en-US"/>
        </w:rPr>
        <w:t>)</w:t>
      </w:r>
    </w:p>
    <w:p w14:paraId="6A6CB2EF" w14:textId="473A6ED0" w:rsidR="00657FB2" w:rsidRDefault="00C80483" w:rsidP="00657FB2">
      <w:pPr>
        <w:rPr>
          <w:rFonts w:eastAsia="Calibri"/>
          <w:color w:val="231F20"/>
          <w:sz w:val="21"/>
          <w:szCs w:val="21"/>
          <w:lang w:eastAsia="en-US"/>
        </w:rPr>
      </w:pPr>
      <w:r>
        <w:rPr>
          <w:rFonts w:eastAsia="Calibri"/>
          <w:noProof/>
          <w:color w:val="231F20"/>
          <w:sz w:val="21"/>
          <w:szCs w:val="21"/>
          <w:lang w:eastAsia="en-US"/>
        </w:rPr>
        <mc:AlternateContent>
          <mc:Choice Requires="wps">
            <w:drawing>
              <wp:anchor distT="0" distB="0" distL="114300" distR="114300" simplePos="0" relativeHeight="251660288" behindDoc="0" locked="0" layoutInCell="1" allowOverlap="1" wp14:anchorId="27B9F290" wp14:editId="004A9016">
                <wp:simplePos x="0" y="0"/>
                <wp:positionH relativeFrom="column">
                  <wp:posOffset>-18473</wp:posOffset>
                </wp:positionH>
                <wp:positionV relativeFrom="paragraph">
                  <wp:posOffset>1202690</wp:posOffset>
                </wp:positionV>
                <wp:extent cx="4692073" cy="258618"/>
                <wp:effectExtent l="0" t="0" r="0" b="0"/>
                <wp:wrapNone/>
                <wp:docPr id="1311763021" name="Text Box 4"/>
                <wp:cNvGraphicFramePr/>
                <a:graphic xmlns:a="http://schemas.openxmlformats.org/drawingml/2006/main">
                  <a:graphicData uri="http://schemas.microsoft.com/office/word/2010/wordprocessingShape">
                    <wps:wsp>
                      <wps:cNvSpPr txBox="1"/>
                      <wps:spPr>
                        <a:xfrm>
                          <a:off x="0" y="0"/>
                          <a:ext cx="4692073" cy="258618"/>
                        </a:xfrm>
                        <a:prstGeom prst="rect">
                          <a:avLst/>
                        </a:prstGeom>
                        <a:solidFill>
                          <a:schemeClr val="lt1"/>
                        </a:solidFill>
                        <a:ln w="6350">
                          <a:noFill/>
                        </a:ln>
                      </wps:spPr>
                      <wps:txbx>
                        <w:txbxContent>
                          <w:p w14:paraId="1D8DB940" w14:textId="30DE6C1A" w:rsidR="00C80483" w:rsidRDefault="00C80483">
                            <w:r>
                              <w:t>*</w:t>
                            </w:r>
                            <w:r>
                              <w:rPr>
                                <w:rFonts w:ascii="Aptos" w:hAnsi="Aptos"/>
                                <w:color w:val="212121"/>
                              </w:rPr>
                              <w:t>Additional assurance</w:t>
                            </w:r>
                            <w:r>
                              <w:rPr>
                                <w:rFonts w:ascii="Aptos" w:hAnsi="Aptos"/>
                                <w:color w:val="212121"/>
                              </w:rPr>
                              <w:t xml:space="preserve"> </w:t>
                            </w:r>
                            <w:r>
                              <w:rPr>
                                <w:rFonts w:ascii="Aptos" w:hAnsi="Aptos"/>
                                <w:color w:val="212121"/>
                              </w:rPr>
                              <w:t>to</w:t>
                            </w:r>
                            <w:r>
                              <w:rPr>
                                <w:rFonts w:ascii="Aptos" w:hAnsi="Aptos"/>
                                <w:color w:val="212121"/>
                              </w:rPr>
                              <w:t xml:space="preserve"> be confirmed </w:t>
                            </w:r>
                            <w:r>
                              <w:rPr>
                                <w:rFonts w:ascii="Aptos" w:hAnsi="Aptos"/>
                                <w:color w:val="212121"/>
                              </w:rPr>
                              <w:t xml:space="preserve">using </w:t>
                            </w:r>
                            <w:r>
                              <w:rPr>
                                <w:rFonts w:ascii="Aptos" w:hAnsi="Aptos"/>
                                <w:color w:val="212121"/>
                              </w:rPr>
                              <w:t>info</w:t>
                            </w:r>
                            <w:r>
                              <w:rPr>
                                <w:rFonts w:ascii="Aptos" w:hAnsi="Aptos"/>
                                <w:color w:val="212121"/>
                              </w:rPr>
                              <w:t>rmation the ICB</w:t>
                            </w:r>
                            <w:r>
                              <w:rPr>
                                <w:rFonts w:ascii="Aptos" w:hAnsi="Aptos"/>
                                <w:color w:val="212121"/>
                              </w:rPr>
                              <w:t xml:space="preserve"> hold</w:t>
                            </w:r>
                            <w:r>
                              <w:rPr>
                                <w:rFonts w:ascii="Aptos" w:hAnsi="Aptos"/>
                                <w:color w:val="21212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B9F290" id="_x0000_t202" coordsize="21600,21600" o:spt="202" path="m,l,21600r21600,l21600,xe">
                <v:stroke joinstyle="miter"/>
                <v:path gradientshapeok="t" o:connecttype="rect"/>
              </v:shapetype>
              <v:shape id="Text Box 4" o:spid="_x0000_s1026" type="#_x0000_t202" style="position:absolute;margin-left:-1.45pt;margin-top:94.7pt;width:369.45pt;height:2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pxeLQIAAFQEAAAOAAAAZHJzL2Uyb0RvYy54bWysVN9v2jAQfp+0/8Hy+0igQGlEqBgV0yTU&#13;&#10;VqJTn41jk0iOz7MNCfvrd3YCpd2epr04d77zd7++y/y+rRU5Cusq0DkdDlJKhOZQVHqf0x8v6y8z&#13;&#10;SpxnumAKtMjpSTh6v/j8ad6YTIygBFUISxBEu6wxOS29N1mSOF6KmrkBGKHRKMHWzKNq90lhWYPo&#13;&#10;tUpGaTpNGrCFscCFc3j70BnpIuJLKbh/ktIJT1ROMTcfTxvPXTiTxZxle8tMWfE+DfYPWdSs0hj0&#13;&#10;AvXAPCMHW/0BVVfcggPpBxzqBKSsuIg1YDXD9EM125IZEWvB5jhzaZP7f7D88bg1z5b49iu0OMDQ&#13;&#10;kMa4zOFlqKeVtg5fzJSgHVt4urRNtJ5wvBxP70bp7Q0lHG2jyWw6nAWY5O21sc5/E1CTIOTU4lhi&#13;&#10;t9hx43znenYJwRyoqlhXSkUlUEGslCVHhkNUPuaI4O+8lCZNTqc3kzQCawjPO2SlMZe3moLk213b&#13;&#10;F7qD4oT1W+io4QxfV5jkhjn/zCxyAUtGfvsnPKQCDAK9REkJ9tff7oM/jgitlDTIrZy6nwdmBSXq&#13;&#10;u8bh3Q3H40DGqIwntyNU7LVld23Rh3oFWPkQN8nwKAZ/r86itFC/4hosQ1Q0Mc0xdk79WVz5jvG4&#13;&#10;Rlwsl9EJ6WeY3+it4QE6dDqM4KV9Zdb0c/I44Uc4s5BlH8bV+YaXGpYHD7KKswwN7rra9x2pG9nQ&#13;&#10;r1nYjWs9er39DBa/AQAA//8DAFBLAwQUAAYACAAAACEAGNlyceYAAAAPAQAADwAAAGRycy9kb3du&#13;&#10;cmV2LnhtbEyPy07EMAxF90j8Q2QkNmgmnRbm0Wk6Qjwldkx5iF2mMW1F41RNpi1/j1nBxpLt6+t7&#13;&#10;st1kWzFg7xtHChbzCARS6UxDlYKX4n62BuGDJqNbR6jgGz3s8tOTTKfGjfSMwz5Ugk3Ip1pBHUKX&#13;&#10;SunLGq32c9ch8e7T9VYHbvtKml6PbG5bGUfRUlrdEH+odYc3NZZf+6NV8HFRvT/56eF1TK6S7u5x&#13;&#10;KFZvplDq/Gy63XK53oIIOIW/C/hl4PyQc7CDO5LxolUwizes5Pl6cwmCBatkyYQHBXESLUDmmfzP&#13;&#10;kf8AAAD//wMAUEsBAi0AFAAGAAgAAAAhALaDOJL+AAAA4QEAABMAAAAAAAAAAAAAAAAAAAAAAFtD&#13;&#10;b250ZW50X1R5cGVzXS54bWxQSwECLQAUAAYACAAAACEAOP0h/9YAAACUAQAACwAAAAAAAAAAAAAA&#13;&#10;AAAvAQAAX3JlbHMvLnJlbHNQSwECLQAUAAYACAAAACEAeE6cXi0CAABUBAAADgAAAAAAAAAAAAAA&#13;&#10;AAAuAgAAZHJzL2Uyb0RvYy54bWxQSwECLQAUAAYACAAAACEAGNlyceYAAAAPAQAADwAAAAAAAAAA&#13;&#10;AAAAAACHBAAAZHJzL2Rvd25yZXYueG1sUEsFBgAAAAAEAAQA8wAAAJoFAAAAAA==&#13;&#10;" fillcolor="white [3201]" stroked="f" strokeweight=".5pt">
                <v:textbox>
                  <w:txbxContent>
                    <w:p w14:paraId="1D8DB940" w14:textId="30DE6C1A" w:rsidR="00C80483" w:rsidRDefault="00C80483">
                      <w:r>
                        <w:t>*</w:t>
                      </w:r>
                      <w:r>
                        <w:rPr>
                          <w:rFonts w:ascii="Aptos" w:hAnsi="Aptos"/>
                          <w:color w:val="212121"/>
                        </w:rPr>
                        <w:t>Additional assurance</w:t>
                      </w:r>
                      <w:r>
                        <w:rPr>
                          <w:rFonts w:ascii="Aptos" w:hAnsi="Aptos"/>
                          <w:color w:val="212121"/>
                        </w:rPr>
                        <w:t xml:space="preserve"> </w:t>
                      </w:r>
                      <w:r>
                        <w:rPr>
                          <w:rFonts w:ascii="Aptos" w:hAnsi="Aptos"/>
                          <w:color w:val="212121"/>
                        </w:rPr>
                        <w:t>to</w:t>
                      </w:r>
                      <w:r>
                        <w:rPr>
                          <w:rFonts w:ascii="Aptos" w:hAnsi="Aptos"/>
                          <w:color w:val="212121"/>
                        </w:rPr>
                        <w:t xml:space="preserve"> be confirmed </w:t>
                      </w:r>
                      <w:r>
                        <w:rPr>
                          <w:rFonts w:ascii="Aptos" w:hAnsi="Aptos"/>
                          <w:color w:val="212121"/>
                        </w:rPr>
                        <w:t xml:space="preserve">using </w:t>
                      </w:r>
                      <w:r>
                        <w:rPr>
                          <w:rFonts w:ascii="Aptos" w:hAnsi="Aptos"/>
                          <w:color w:val="212121"/>
                        </w:rPr>
                        <w:t>info</w:t>
                      </w:r>
                      <w:r>
                        <w:rPr>
                          <w:rFonts w:ascii="Aptos" w:hAnsi="Aptos"/>
                          <w:color w:val="212121"/>
                        </w:rPr>
                        <w:t>rmation the ICB</w:t>
                      </w:r>
                      <w:r>
                        <w:rPr>
                          <w:rFonts w:ascii="Aptos" w:hAnsi="Aptos"/>
                          <w:color w:val="212121"/>
                        </w:rPr>
                        <w:t xml:space="preserve"> hold</w:t>
                      </w:r>
                      <w:r>
                        <w:rPr>
                          <w:rFonts w:ascii="Aptos" w:hAnsi="Aptos"/>
                          <w:color w:val="212121"/>
                        </w:rPr>
                        <w:t>s.</w:t>
                      </w:r>
                    </w:p>
                  </w:txbxContent>
                </v:textbox>
              </v:shape>
            </w:pict>
          </mc:Fallback>
        </mc:AlternateContent>
      </w:r>
    </w:p>
    <w:tbl>
      <w:tblPr>
        <w:tblStyle w:val="TableGrid"/>
        <w:tblW w:w="14596" w:type="dxa"/>
        <w:tblLook w:val="04A0" w:firstRow="1" w:lastRow="0" w:firstColumn="1" w:lastColumn="0" w:noHBand="0" w:noVBand="1"/>
      </w:tblPr>
      <w:tblGrid>
        <w:gridCol w:w="14596"/>
      </w:tblGrid>
      <w:tr w:rsidR="00124DB7" w14:paraId="5955933D" w14:textId="77777777" w:rsidTr="00124DB7">
        <w:tc>
          <w:tcPr>
            <w:tcW w:w="14596" w:type="dxa"/>
          </w:tcPr>
          <w:p w14:paraId="67197003" w14:textId="77777777" w:rsidR="00124DB7" w:rsidRDefault="00124DB7" w:rsidP="00657FB2">
            <w:pPr>
              <w:rPr>
                <w:rFonts w:eastAsia="Calibri"/>
                <w:color w:val="231F20"/>
                <w:sz w:val="21"/>
                <w:szCs w:val="21"/>
                <w:lang w:eastAsia="en-US"/>
              </w:rPr>
            </w:pPr>
          </w:p>
          <w:p w14:paraId="55EB003A" w14:textId="77777777" w:rsidR="00124DB7" w:rsidRDefault="00124DB7" w:rsidP="00657FB2">
            <w:pPr>
              <w:rPr>
                <w:rFonts w:eastAsia="Calibri"/>
                <w:color w:val="231F20"/>
                <w:sz w:val="21"/>
                <w:szCs w:val="21"/>
                <w:lang w:eastAsia="en-US"/>
              </w:rPr>
            </w:pPr>
          </w:p>
          <w:p w14:paraId="33748272" w14:textId="77777777" w:rsidR="00124DB7" w:rsidRDefault="00124DB7" w:rsidP="00657FB2">
            <w:pPr>
              <w:rPr>
                <w:rFonts w:eastAsia="Calibri"/>
                <w:color w:val="231F20"/>
                <w:sz w:val="21"/>
                <w:szCs w:val="21"/>
                <w:lang w:eastAsia="en-US"/>
              </w:rPr>
            </w:pPr>
          </w:p>
          <w:p w14:paraId="17BD0CEF" w14:textId="77777777" w:rsidR="00124DB7" w:rsidRDefault="00124DB7" w:rsidP="00657FB2">
            <w:pPr>
              <w:rPr>
                <w:rFonts w:eastAsia="Calibri"/>
                <w:color w:val="231F20"/>
                <w:sz w:val="21"/>
                <w:szCs w:val="21"/>
                <w:lang w:eastAsia="en-US"/>
              </w:rPr>
            </w:pPr>
          </w:p>
          <w:p w14:paraId="4AA5E52C" w14:textId="77777777" w:rsidR="00C80483" w:rsidRDefault="00C80483" w:rsidP="00657FB2">
            <w:pPr>
              <w:rPr>
                <w:rFonts w:eastAsia="Calibri"/>
                <w:color w:val="231F20"/>
                <w:sz w:val="21"/>
                <w:szCs w:val="21"/>
                <w:lang w:eastAsia="en-US"/>
              </w:rPr>
            </w:pPr>
          </w:p>
        </w:tc>
      </w:tr>
    </w:tbl>
    <w:p w14:paraId="42FE6539" w14:textId="77777777" w:rsidR="00657FB2" w:rsidRPr="00657FB2" w:rsidRDefault="00657FB2" w:rsidP="00657FB2">
      <w:pPr>
        <w:rPr>
          <w:rFonts w:eastAsia="Calibri"/>
          <w:color w:val="231F20"/>
          <w:sz w:val="21"/>
          <w:szCs w:val="21"/>
          <w:lang w:eastAsia="en-US"/>
        </w:rPr>
      </w:pPr>
      <w:r w:rsidRPr="00657FB2">
        <w:rPr>
          <w:rFonts w:eastAsia="Calibri"/>
          <w:color w:val="231F20"/>
          <w:sz w:val="21"/>
          <w:szCs w:val="21"/>
          <w:lang w:eastAsia="en-US"/>
        </w:rPr>
        <w:t>PCN to use the space below to outline any local evidence to support ICB assessment (such as patient facing materials</w:t>
      </w:r>
      <w:r w:rsidR="006B5306" w:rsidRPr="00657FB2">
        <w:rPr>
          <w:rFonts w:eastAsia="Calibri"/>
          <w:color w:val="231F20"/>
          <w:sz w:val="21"/>
          <w:szCs w:val="21"/>
          <w:lang w:eastAsia="en-US"/>
        </w:rPr>
        <w:t>), intended</w:t>
      </w:r>
      <w:r w:rsidRPr="00657FB2">
        <w:rPr>
          <w:rFonts w:eastAsia="Calibri"/>
          <w:color w:val="231F20"/>
          <w:sz w:val="21"/>
          <w:szCs w:val="21"/>
          <w:lang w:eastAsia="en-US"/>
        </w:rPr>
        <w:t xml:space="preserve"> further collaborative working and how the PCN is working together to make sure they are communicating the changes and improvements they’ve been making in this domain to their patients </w:t>
      </w:r>
    </w:p>
    <w:p w14:paraId="347E2249" w14:textId="77777777" w:rsidR="00657FB2" w:rsidRDefault="00657FB2" w:rsidP="00657FB2">
      <w:pPr>
        <w:rPr>
          <w:rFonts w:eastAsia="Calibri"/>
          <w:color w:val="231F20"/>
          <w:sz w:val="21"/>
          <w:szCs w:val="21"/>
          <w:lang w:eastAsia="en-US"/>
        </w:rPr>
      </w:pPr>
    </w:p>
    <w:tbl>
      <w:tblPr>
        <w:tblStyle w:val="TableGrid"/>
        <w:tblW w:w="14596" w:type="dxa"/>
        <w:tblLook w:val="04A0" w:firstRow="1" w:lastRow="0" w:firstColumn="1" w:lastColumn="0" w:noHBand="0" w:noVBand="1"/>
      </w:tblPr>
      <w:tblGrid>
        <w:gridCol w:w="14596"/>
      </w:tblGrid>
      <w:tr w:rsidR="00124DB7" w14:paraId="72E10B19" w14:textId="77777777" w:rsidTr="00124DB7">
        <w:tc>
          <w:tcPr>
            <w:tcW w:w="14596" w:type="dxa"/>
          </w:tcPr>
          <w:p w14:paraId="65F6178B" w14:textId="77777777" w:rsidR="00124DB7" w:rsidRDefault="00124DB7" w:rsidP="00657FB2">
            <w:pPr>
              <w:rPr>
                <w:rFonts w:eastAsia="Calibri"/>
                <w:color w:val="231F20"/>
                <w:sz w:val="21"/>
                <w:szCs w:val="21"/>
                <w:lang w:eastAsia="en-US"/>
              </w:rPr>
            </w:pPr>
          </w:p>
          <w:p w14:paraId="2CF22536" w14:textId="77777777" w:rsidR="00124DB7" w:rsidRDefault="00124DB7" w:rsidP="00657FB2">
            <w:pPr>
              <w:rPr>
                <w:rFonts w:eastAsia="Calibri"/>
                <w:color w:val="231F20"/>
                <w:sz w:val="21"/>
                <w:szCs w:val="21"/>
                <w:lang w:eastAsia="en-US"/>
              </w:rPr>
            </w:pPr>
          </w:p>
          <w:p w14:paraId="608A49CE" w14:textId="77777777" w:rsidR="00124DB7" w:rsidRDefault="00124DB7" w:rsidP="00657FB2">
            <w:pPr>
              <w:rPr>
                <w:rFonts w:eastAsia="Calibri"/>
                <w:color w:val="231F20"/>
                <w:sz w:val="21"/>
                <w:szCs w:val="21"/>
                <w:lang w:eastAsia="en-US"/>
              </w:rPr>
            </w:pPr>
          </w:p>
          <w:p w14:paraId="343E3EBA" w14:textId="77777777" w:rsidR="00124DB7" w:rsidRDefault="00124DB7" w:rsidP="00657FB2">
            <w:pPr>
              <w:rPr>
                <w:rFonts w:eastAsia="Calibri"/>
                <w:color w:val="231F20"/>
                <w:sz w:val="21"/>
                <w:szCs w:val="21"/>
                <w:lang w:eastAsia="en-US"/>
              </w:rPr>
            </w:pPr>
          </w:p>
          <w:p w14:paraId="52F925B5" w14:textId="77777777" w:rsidR="00124DB7" w:rsidRDefault="00124DB7" w:rsidP="00657FB2">
            <w:pPr>
              <w:rPr>
                <w:rFonts w:eastAsia="Calibri"/>
                <w:color w:val="231F20"/>
                <w:sz w:val="21"/>
                <w:szCs w:val="21"/>
                <w:lang w:eastAsia="en-US"/>
              </w:rPr>
            </w:pPr>
          </w:p>
          <w:p w14:paraId="3B287D2D" w14:textId="77777777" w:rsidR="00124DB7" w:rsidRDefault="00124DB7" w:rsidP="00657FB2">
            <w:pPr>
              <w:rPr>
                <w:rFonts w:eastAsia="Calibri"/>
                <w:color w:val="231F20"/>
                <w:sz w:val="21"/>
                <w:szCs w:val="21"/>
                <w:lang w:eastAsia="en-US"/>
              </w:rPr>
            </w:pPr>
          </w:p>
          <w:p w14:paraId="1B56FAD2" w14:textId="77777777" w:rsidR="00124DB7" w:rsidRDefault="00124DB7" w:rsidP="00657FB2">
            <w:pPr>
              <w:rPr>
                <w:rFonts w:eastAsia="Calibri"/>
                <w:color w:val="231F20"/>
                <w:sz w:val="21"/>
                <w:szCs w:val="21"/>
                <w:lang w:eastAsia="en-US"/>
              </w:rPr>
            </w:pPr>
          </w:p>
        </w:tc>
      </w:tr>
    </w:tbl>
    <w:p w14:paraId="3E73C2DB" w14:textId="77777777" w:rsidR="006B5306" w:rsidRPr="004A3ABB" w:rsidRDefault="006B5306" w:rsidP="00657FB2">
      <w:pPr>
        <w:rPr>
          <w:rFonts w:eastAsia="Calibri"/>
          <w:b/>
          <w:color w:val="231F20"/>
          <w:sz w:val="21"/>
          <w:szCs w:val="21"/>
          <w:lang w:eastAsia="en-US"/>
        </w:rPr>
      </w:pPr>
    </w:p>
    <w:p w14:paraId="7A07204D" w14:textId="77777777" w:rsidR="004A3ABB" w:rsidRPr="003906D1" w:rsidRDefault="004A3ABB" w:rsidP="00657FB2">
      <w:pPr>
        <w:rPr>
          <w:rFonts w:eastAsia="Calibri"/>
          <w:b/>
          <w:color w:val="231F20"/>
          <w:szCs w:val="22"/>
          <w:lang w:eastAsia="en-US"/>
        </w:rPr>
      </w:pPr>
      <w:r w:rsidRPr="003906D1">
        <w:rPr>
          <w:rFonts w:eastAsia="Calibri"/>
          <w:b/>
          <w:color w:val="231F20"/>
          <w:szCs w:val="22"/>
          <w:lang w:eastAsia="en-US"/>
        </w:rPr>
        <w:t>DECLARATION</w:t>
      </w:r>
    </w:p>
    <w:p w14:paraId="7E6F1484" w14:textId="77777777" w:rsidR="004A3ABB" w:rsidRPr="003906D1" w:rsidRDefault="004A3ABB" w:rsidP="00657FB2">
      <w:pPr>
        <w:rPr>
          <w:rFonts w:eastAsia="Calibri"/>
          <w:color w:val="231F20"/>
          <w:szCs w:val="22"/>
          <w:lang w:eastAsia="en-US"/>
        </w:rPr>
      </w:pPr>
    </w:p>
    <w:p w14:paraId="06731766" w14:textId="77777777" w:rsidR="00124DB7" w:rsidRPr="003906D1" w:rsidRDefault="00124DB7" w:rsidP="00124DB7">
      <w:pPr>
        <w:rPr>
          <w:rFonts w:eastAsia="Calibri"/>
          <w:color w:val="231F20"/>
          <w:szCs w:val="22"/>
          <w:lang w:eastAsia="en-US"/>
        </w:rPr>
      </w:pPr>
      <w:r w:rsidRPr="003906D1">
        <w:rPr>
          <w:rFonts w:eastAsia="Calibri"/>
          <w:color w:val="231F20"/>
          <w:szCs w:val="22"/>
          <w:lang w:eastAsia="en-US"/>
        </w:rPr>
        <w:t>I, the PCN Clinical Director confirm that all practices within the PCN:</w:t>
      </w:r>
    </w:p>
    <w:p w14:paraId="085558E2" w14:textId="77777777" w:rsidR="00124DB7" w:rsidRPr="003906D1" w:rsidRDefault="00124DB7" w:rsidP="00124DB7">
      <w:pPr>
        <w:numPr>
          <w:ilvl w:val="0"/>
          <w:numId w:val="40"/>
        </w:numPr>
        <w:contextualSpacing/>
        <w:rPr>
          <w:rFonts w:eastAsia="Calibri"/>
          <w:color w:val="231F20"/>
          <w:szCs w:val="22"/>
          <w:lang w:eastAsia="en-US"/>
        </w:rPr>
      </w:pPr>
      <w:r w:rsidRPr="003906D1">
        <w:rPr>
          <w:rFonts w:eastAsia="Calibri"/>
          <w:color w:val="231F20"/>
          <w:szCs w:val="22"/>
          <w:lang w:eastAsia="en-US"/>
        </w:rPr>
        <w:t>have a Digital telephony solution implemented, and that call back functionality has been, and will continue to be, enabled</w:t>
      </w:r>
    </w:p>
    <w:p w14:paraId="4D3F8BC0" w14:textId="77777777" w:rsidR="00124DB7" w:rsidRPr="003906D1" w:rsidRDefault="00124DB7" w:rsidP="00124DB7">
      <w:pPr>
        <w:numPr>
          <w:ilvl w:val="0"/>
          <w:numId w:val="40"/>
        </w:numPr>
        <w:contextualSpacing/>
        <w:rPr>
          <w:rFonts w:eastAsia="Calibri"/>
          <w:color w:val="231F20"/>
          <w:szCs w:val="22"/>
          <w:lang w:eastAsia="en-US"/>
        </w:rPr>
      </w:pPr>
      <w:r w:rsidRPr="003906D1">
        <w:rPr>
          <w:rFonts w:eastAsia="Calibri"/>
          <w:color w:val="231F20"/>
          <w:szCs w:val="22"/>
          <w:lang w:eastAsia="en-US"/>
        </w:rPr>
        <w:t>have submitted a DPN to NHS England to enable the flow to telephony data from the local telephony supplier</w:t>
      </w:r>
    </w:p>
    <w:p w14:paraId="19E120B1" w14:textId="77777777" w:rsidR="00124DB7" w:rsidRPr="003906D1" w:rsidRDefault="004A3ABB" w:rsidP="00124DB7">
      <w:pPr>
        <w:numPr>
          <w:ilvl w:val="0"/>
          <w:numId w:val="40"/>
        </w:numPr>
        <w:contextualSpacing/>
        <w:rPr>
          <w:rFonts w:eastAsia="Calibri"/>
          <w:color w:val="231F20"/>
          <w:szCs w:val="22"/>
          <w:lang w:eastAsia="en-US"/>
        </w:rPr>
      </w:pPr>
      <w:r w:rsidRPr="003906D1">
        <w:rPr>
          <w:rFonts w:eastAsia="Calibri"/>
          <w:color w:val="231F20"/>
          <w:szCs w:val="22"/>
          <w:lang w:eastAsia="en-US"/>
        </w:rPr>
        <w:t xml:space="preserve">that </w:t>
      </w:r>
      <w:r w:rsidR="00124DB7" w:rsidRPr="003906D1">
        <w:rPr>
          <w:rFonts w:eastAsia="Calibri"/>
          <w:color w:val="231F20"/>
          <w:szCs w:val="22"/>
          <w:lang w:eastAsia="en-US"/>
        </w:rPr>
        <w:t>information provided on this form is accurate to the best of my knowledge</w:t>
      </w:r>
    </w:p>
    <w:p w14:paraId="6CAFD4E7" w14:textId="77777777" w:rsidR="00124DB7" w:rsidRPr="003906D1" w:rsidRDefault="00124DB7" w:rsidP="00124DB7">
      <w:pPr>
        <w:contextualSpacing/>
        <w:rPr>
          <w:rFonts w:eastAsia="Calibri"/>
          <w:color w:val="231F20"/>
          <w:szCs w:val="22"/>
          <w:lang w:eastAsia="en-US"/>
        </w:rPr>
      </w:pPr>
    </w:p>
    <w:tbl>
      <w:tblPr>
        <w:tblStyle w:val="TableGrid"/>
        <w:tblW w:w="0" w:type="auto"/>
        <w:tblLook w:val="04A0" w:firstRow="1" w:lastRow="0" w:firstColumn="1" w:lastColumn="0" w:noHBand="0" w:noVBand="1"/>
      </w:tblPr>
      <w:tblGrid>
        <w:gridCol w:w="6974"/>
        <w:gridCol w:w="6974"/>
      </w:tblGrid>
      <w:tr w:rsidR="00E10348" w:rsidRPr="00E10348" w14:paraId="5E46924D" w14:textId="77777777" w:rsidTr="00FF2D20">
        <w:tc>
          <w:tcPr>
            <w:tcW w:w="13948" w:type="dxa"/>
            <w:gridSpan w:val="2"/>
          </w:tcPr>
          <w:p w14:paraId="3087A15F" w14:textId="77777777" w:rsidR="00E10348" w:rsidRPr="00E10348" w:rsidRDefault="00E10348" w:rsidP="00E10348">
            <w:pPr>
              <w:contextualSpacing/>
              <w:rPr>
                <w:rFonts w:eastAsia="Calibri"/>
                <w:b/>
                <w:color w:val="231F20"/>
                <w:szCs w:val="22"/>
                <w:lang w:eastAsia="en-US"/>
              </w:rPr>
            </w:pPr>
            <w:r w:rsidRPr="00E10348">
              <w:rPr>
                <w:rFonts w:eastAsia="Calibri"/>
                <w:b/>
                <w:color w:val="231F20"/>
                <w:szCs w:val="22"/>
                <w:lang w:eastAsia="en-US"/>
              </w:rPr>
              <w:t>PCN Name and ODS no.:</w:t>
            </w:r>
          </w:p>
        </w:tc>
      </w:tr>
      <w:tr w:rsidR="00E10348" w:rsidRPr="00E10348" w14:paraId="595794DD" w14:textId="77777777" w:rsidTr="00E10348">
        <w:tc>
          <w:tcPr>
            <w:tcW w:w="6974" w:type="dxa"/>
          </w:tcPr>
          <w:p w14:paraId="5467772D" w14:textId="77777777" w:rsidR="00E10348" w:rsidRPr="00E10348" w:rsidRDefault="00E10348" w:rsidP="00E10348">
            <w:pPr>
              <w:contextualSpacing/>
              <w:rPr>
                <w:rFonts w:eastAsia="Calibri"/>
                <w:b/>
                <w:color w:val="231F20"/>
                <w:szCs w:val="22"/>
                <w:lang w:eastAsia="en-US"/>
              </w:rPr>
            </w:pPr>
            <w:r w:rsidRPr="00E10348">
              <w:rPr>
                <w:rFonts w:eastAsia="Calibri"/>
                <w:b/>
                <w:color w:val="231F20"/>
                <w:szCs w:val="22"/>
                <w:lang w:eastAsia="en-US"/>
              </w:rPr>
              <w:t>PCN Practices (Name and ODS No.)</w:t>
            </w:r>
          </w:p>
          <w:p w14:paraId="2053E612" w14:textId="77777777" w:rsidR="00E10348" w:rsidRPr="00E10348" w:rsidRDefault="00E10348" w:rsidP="00E10348">
            <w:pPr>
              <w:rPr>
                <w:rFonts w:eastAsia="Calibri"/>
                <w:b/>
                <w:color w:val="231F20"/>
                <w:szCs w:val="22"/>
                <w:lang w:eastAsia="en-US"/>
              </w:rPr>
            </w:pPr>
            <w:r w:rsidRPr="00E10348">
              <w:rPr>
                <w:rFonts w:eastAsia="Calibri"/>
                <w:b/>
                <w:color w:val="231F20"/>
                <w:szCs w:val="22"/>
                <w:lang w:eastAsia="en-US"/>
              </w:rPr>
              <w:t xml:space="preserve">1. </w:t>
            </w:r>
          </w:p>
          <w:p w14:paraId="4DAE0985" w14:textId="77777777" w:rsidR="00E10348" w:rsidRPr="00E10348" w:rsidRDefault="00E10348" w:rsidP="00E10348">
            <w:pPr>
              <w:rPr>
                <w:rFonts w:eastAsia="Calibri"/>
                <w:b/>
                <w:color w:val="231F20"/>
                <w:szCs w:val="22"/>
                <w:lang w:eastAsia="en-US"/>
              </w:rPr>
            </w:pPr>
            <w:r w:rsidRPr="00E10348">
              <w:rPr>
                <w:rFonts w:eastAsia="Calibri"/>
                <w:b/>
                <w:color w:val="231F20"/>
                <w:szCs w:val="22"/>
                <w:lang w:eastAsia="en-US"/>
              </w:rPr>
              <w:t xml:space="preserve">2. </w:t>
            </w:r>
          </w:p>
        </w:tc>
        <w:tc>
          <w:tcPr>
            <w:tcW w:w="6974" w:type="dxa"/>
          </w:tcPr>
          <w:p w14:paraId="28B00A03" w14:textId="77777777" w:rsidR="00E10348" w:rsidRPr="00E10348" w:rsidRDefault="00E10348" w:rsidP="00E10348">
            <w:pPr>
              <w:contextualSpacing/>
              <w:rPr>
                <w:rFonts w:eastAsia="Calibri"/>
                <w:b/>
                <w:color w:val="231F20"/>
                <w:szCs w:val="22"/>
                <w:lang w:eastAsia="en-US"/>
              </w:rPr>
            </w:pPr>
            <w:r w:rsidRPr="00E10348">
              <w:rPr>
                <w:rFonts w:eastAsia="Calibri"/>
                <w:b/>
                <w:color w:val="231F20"/>
                <w:szCs w:val="22"/>
                <w:lang w:eastAsia="en-US"/>
              </w:rPr>
              <w:t>3.</w:t>
            </w:r>
          </w:p>
          <w:p w14:paraId="047CCEA4" w14:textId="77777777" w:rsidR="00E10348" w:rsidRPr="00E10348" w:rsidRDefault="00E10348" w:rsidP="00E10348">
            <w:pPr>
              <w:contextualSpacing/>
              <w:rPr>
                <w:rFonts w:eastAsia="Calibri"/>
                <w:b/>
                <w:color w:val="231F20"/>
                <w:szCs w:val="22"/>
                <w:lang w:eastAsia="en-US"/>
              </w:rPr>
            </w:pPr>
            <w:r w:rsidRPr="00E10348">
              <w:rPr>
                <w:rFonts w:eastAsia="Calibri"/>
                <w:b/>
                <w:color w:val="231F20"/>
                <w:szCs w:val="22"/>
                <w:lang w:eastAsia="en-US"/>
              </w:rPr>
              <w:t xml:space="preserve">4. </w:t>
            </w:r>
          </w:p>
          <w:p w14:paraId="431009DF" w14:textId="77777777" w:rsidR="00E10348" w:rsidRPr="00E10348" w:rsidRDefault="00E10348" w:rsidP="00E10348">
            <w:pPr>
              <w:contextualSpacing/>
              <w:rPr>
                <w:rFonts w:eastAsia="Calibri"/>
                <w:b/>
                <w:color w:val="231F20"/>
                <w:szCs w:val="22"/>
                <w:lang w:eastAsia="en-US"/>
              </w:rPr>
            </w:pPr>
            <w:r w:rsidRPr="00E10348">
              <w:rPr>
                <w:rFonts w:eastAsia="Calibri"/>
                <w:b/>
                <w:color w:val="231F20"/>
                <w:szCs w:val="22"/>
                <w:lang w:eastAsia="en-US"/>
              </w:rPr>
              <w:t>5.</w:t>
            </w:r>
          </w:p>
        </w:tc>
      </w:tr>
      <w:tr w:rsidR="00E10348" w:rsidRPr="00E10348" w14:paraId="0A6A88F8" w14:textId="77777777" w:rsidTr="009B78D8">
        <w:tc>
          <w:tcPr>
            <w:tcW w:w="13948" w:type="dxa"/>
            <w:gridSpan w:val="2"/>
          </w:tcPr>
          <w:p w14:paraId="0FF6CEDC" w14:textId="77777777" w:rsidR="00E10348" w:rsidRPr="00E10348" w:rsidRDefault="00E10348" w:rsidP="00124DB7">
            <w:pPr>
              <w:contextualSpacing/>
              <w:rPr>
                <w:rFonts w:eastAsia="Calibri"/>
                <w:b/>
                <w:color w:val="231F20"/>
                <w:szCs w:val="22"/>
                <w:lang w:eastAsia="en-US"/>
              </w:rPr>
            </w:pPr>
            <w:r w:rsidRPr="00E10348">
              <w:rPr>
                <w:rFonts w:eastAsia="Calibri"/>
                <w:b/>
                <w:color w:val="231F20"/>
                <w:szCs w:val="22"/>
                <w:lang w:eastAsia="en-US"/>
              </w:rPr>
              <w:t>PCN CD Name:</w:t>
            </w:r>
          </w:p>
        </w:tc>
      </w:tr>
      <w:tr w:rsidR="00E10348" w:rsidRPr="00E10348" w14:paraId="7B871712" w14:textId="77777777" w:rsidTr="002836E9">
        <w:tc>
          <w:tcPr>
            <w:tcW w:w="13948" w:type="dxa"/>
            <w:gridSpan w:val="2"/>
          </w:tcPr>
          <w:p w14:paraId="34154AAA" w14:textId="77777777" w:rsidR="00E10348" w:rsidRPr="00E10348" w:rsidRDefault="00E10348" w:rsidP="00124DB7">
            <w:pPr>
              <w:contextualSpacing/>
              <w:rPr>
                <w:rFonts w:eastAsia="Calibri"/>
                <w:b/>
                <w:color w:val="231F20"/>
                <w:szCs w:val="22"/>
                <w:lang w:eastAsia="en-US"/>
              </w:rPr>
            </w:pPr>
            <w:r w:rsidRPr="00E10348">
              <w:rPr>
                <w:rFonts w:eastAsia="Calibri"/>
                <w:b/>
                <w:color w:val="231F20"/>
                <w:szCs w:val="22"/>
                <w:lang w:eastAsia="en-US"/>
              </w:rPr>
              <w:t>PCD CD Signature:</w:t>
            </w:r>
          </w:p>
          <w:p w14:paraId="2FDE3AEB" w14:textId="77777777" w:rsidR="00E10348" w:rsidRPr="00E10348" w:rsidRDefault="00E10348" w:rsidP="00124DB7">
            <w:pPr>
              <w:contextualSpacing/>
              <w:rPr>
                <w:rFonts w:eastAsia="Calibri"/>
                <w:b/>
                <w:color w:val="231F20"/>
                <w:szCs w:val="22"/>
                <w:lang w:eastAsia="en-US"/>
              </w:rPr>
            </w:pPr>
          </w:p>
        </w:tc>
      </w:tr>
      <w:tr w:rsidR="00E10348" w:rsidRPr="00E10348" w14:paraId="22A90DFD" w14:textId="77777777" w:rsidTr="00F6624C">
        <w:tc>
          <w:tcPr>
            <w:tcW w:w="13948" w:type="dxa"/>
            <w:gridSpan w:val="2"/>
          </w:tcPr>
          <w:p w14:paraId="088CF53E" w14:textId="77777777" w:rsidR="00E10348" w:rsidRPr="00E10348" w:rsidRDefault="00E10348" w:rsidP="00124DB7">
            <w:pPr>
              <w:contextualSpacing/>
              <w:rPr>
                <w:rFonts w:eastAsia="Calibri"/>
                <w:b/>
                <w:color w:val="231F20"/>
                <w:szCs w:val="22"/>
                <w:lang w:eastAsia="en-US"/>
              </w:rPr>
            </w:pPr>
            <w:r w:rsidRPr="00E10348">
              <w:rPr>
                <w:rFonts w:eastAsia="Calibri"/>
                <w:b/>
                <w:color w:val="231F20"/>
                <w:szCs w:val="22"/>
                <w:lang w:eastAsia="en-US"/>
              </w:rPr>
              <w:t>Date:</w:t>
            </w:r>
          </w:p>
        </w:tc>
      </w:tr>
    </w:tbl>
    <w:p w14:paraId="4A8A5ACE" w14:textId="77777777" w:rsidR="00124DB7" w:rsidRDefault="00124DB7" w:rsidP="00124DB7">
      <w:pPr>
        <w:contextualSpacing/>
        <w:rPr>
          <w:rFonts w:eastAsia="Calibri"/>
          <w:color w:val="231F20"/>
          <w:szCs w:val="22"/>
          <w:lang w:eastAsia="en-US"/>
        </w:rPr>
      </w:pPr>
    </w:p>
    <w:p w14:paraId="38CA7E02" w14:textId="77777777" w:rsidR="00E10348" w:rsidRDefault="00E10348" w:rsidP="00124DB7">
      <w:pPr>
        <w:contextualSpacing/>
        <w:rPr>
          <w:rFonts w:eastAsia="Calibri"/>
          <w:color w:val="231F20"/>
          <w:szCs w:val="22"/>
          <w:lang w:eastAsia="en-US"/>
        </w:rPr>
      </w:pPr>
    </w:p>
    <w:p w14:paraId="4B50DF27" w14:textId="77777777" w:rsidR="00E10348" w:rsidRDefault="00E10348" w:rsidP="00124DB7">
      <w:pPr>
        <w:contextualSpacing/>
        <w:rPr>
          <w:rFonts w:eastAsia="Calibri"/>
          <w:color w:val="231F20"/>
          <w:szCs w:val="22"/>
          <w:lang w:eastAsia="en-US"/>
        </w:rPr>
      </w:pPr>
    </w:p>
    <w:p w14:paraId="788DBF7E" w14:textId="77777777" w:rsidR="00E10348" w:rsidRDefault="00E10348" w:rsidP="00124DB7">
      <w:pPr>
        <w:contextualSpacing/>
        <w:rPr>
          <w:rFonts w:eastAsia="Calibri"/>
          <w:color w:val="231F20"/>
          <w:szCs w:val="22"/>
          <w:lang w:eastAsia="en-US"/>
        </w:rPr>
      </w:pPr>
    </w:p>
    <w:p w14:paraId="306F8679" w14:textId="77777777" w:rsidR="00C80483" w:rsidRDefault="00C80483" w:rsidP="00124DB7">
      <w:pPr>
        <w:contextualSpacing/>
        <w:rPr>
          <w:rFonts w:eastAsia="Calibri"/>
          <w:color w:val="231F20"/>
          <w:szCs w:val="22"/>
          <w:lang w:eastAsia="en-US"/>
        </w:rPr>
      </w:pPr>
    </w:p>
    <w:p w14:paraId="64B159DA" w14:textId="77777777" w:rsidR="00C80483" w:rsidRDefault="00C80483" w:rsidP="00124DB7">
      <w:pPr>
        <w:contextualSpacing/>
        <w:rPr>
          <w:rFonts w:eastAsia="Calibri"/>
          <w:color w:val="231F20"/>
          <w:szCs w:val="22"/>
          <w:lang w:eastAsia="en-US"/>
        </w:rPr>
      </w:pPr>
    </w:p>
    <w:p w14:paraId="70F84D4A" w14:textId="77777777" w:rsidR="00E10348" w:rsidRDefault="00E10348" w:rsidP="00124DB7">
      <w:pPr>
        <w:contextualSpacing/>
        <w:rPr>
          <w:rFonts w:eastAsia="Calibri"/>
          <w:color w:val="231F20"/>
          <w:szCs w:val="22"/>
          <w:lang w:eastAsia="en-US"/>
        </w:rPr>
      </w:pPr>
    </w:p>
    <w:p w14:paraId="00BA0E24" w14:textId="77777777" w:rsidR="00E10348" w:rsidRDefault="00E10348" w:rsidP="00124DB7">
      <w:pPr>
        <w:contextualSpacing/>
        <w:rPr>
          <w:rFonts w:eastAsia="Calibri"/>
          <w:color w:val="231F20"/>
          <w:szCs w:val="22"/>
          <w:lang w:eastAsia="en-US"/>
        </w:rPr>
      </w:pPr>
    </w:p>
    <w:p w14:paraId="7CBD3119" w14:textId="77777777" w:rsidR="00E10348" w:rsidRDefault="00E10348" w:rsidP="00124DB7">
      <w:pPr>
        <w:contextualSpacing/>
        <w:rPr>
          <w:rFonts w:eastAsia="Calibri"/>
          <w:color w:val="231F20"/>
          <w:szCs w:val="22"/>
          <w:lang w:eastAsia="en-US"/>
        </w:rPr>
      </w:pPr>
    </w:p>
    <w:p w14:paraId="01118ADE" w14:textId="77777777" w:rsidR="00E10348" w:rsidRPr="003906D1" w:rsidRDefault="00E10348" w:rsidP="00124DB7">
      <w:pPr>
        <w:contextualSpacing/>
        <w:rPr>
          <w:rFonts w:eastAsia="Calibri"/>
          <w:color w:val="231F20"/>
          <w:szCs w:val="22"/>
          <w:lang w:eastAsia="en-US"/>
        </w:rPr>
      </w:pPr>
    </w:p>
    <w:p w14:paraId="19090C31" w14:textId="77777777" w:rsidR="006B5306" w:rsidRPr="00124DB7" w:rsidRDefault="00124DB7" w:rsidP="00124DB7">
      <w:pPr>
        <w:pStyle w:val="Heading2"/>
        <w:ind w:left="-709"/>
        <w:jc w:val="both"/>
        <w:rPr>
          <w:sz w:val="24"/>
          <w:szCs w:val="24"/>
        </w:rPr>
      </w:pPr>
      <w:r w:rsidRPr="00D05CFA">
        <w:rPr>
          <w:sz w:val="24"/>
          <w:szCs w:val="24"/>
        </w:rPr>
        <w:t xml:space="preserve">SECTION </w:t>
      </w:r>
      <w:r w:rsidRPr="00124DB7">
        <w:rPr>
          <w:sz w:val="24"/>
          <w:szCs w:val="24"/>
        </w:rPr>
        <w:t>2</w:t>
      </w:r>
      <w:r w:rsidRPr="00D05CFA">
        <w:rPr>
          <w:sz w:val="24"/>
          <w:szCs w:val="24"/>
        </w:rPr>
        <w:t xml:space="preserve">: </w:t>
      </w:r>
      <w:r w:rsidRPr="00124DB7">
        <w:rPr>
          <w:sz w:val="24"/>
          <w:szCs w:val="24"/>
        </w:rPr>
        <w:t>SIMPLER ONLINE REQUESTS</w:t>
      </w:r>
    </w:p>
    <w:p w14:paraId="0B25675B" w14:textId="77777777" w:rsidR="00124DB7" w:rsidRPr="00657FB2" w:rsidRDefault="00124DB7" w:rsidP="00657FB2">
      <w:pPr>
        <w:rPr>
          <w:rFonts w:eastAsia="Calibri"/>
          <w:color w:val="231F20"/>
          <w:sz w:val="21"/>
          <w:szCs w:val="21"/>
          <w:lang w:eastAsia="en-U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gridCol w:w="5670"/>
        <w:gridCol w:w="1843"/>
      </w:tblGrid>
      <w:tr w:rsidR="00F06669" w:rsidRPr="00657FB2" w14:paraId="2084A8CF" w14:textId="77777777" w:rsidTr="00F06669">
        <w:trPr>
          <w:trHeight w:val="716"/>
        </w:trPr>
        <w:tc>
          <w:tcPr>
            <w:tcW w:w="1701" w:type="dxa"/>
            <w:shd w:val="clear" w:color="auto" w:fill="4F81BD" w:themeFill="accent1"/>
            <w:vAlign w:val="center"/>
          </w:tcPr>
          <w:p w14:paraId="34FACBD7" w14:textId="77777777" w:rsidR="00F06669" w:rsidRPr="00657FB2" w:rsidRDefault="00F06669" w:rsidP="00657FB2">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Domain</w:t>
            </w:r>
          </w:p>
          <w:p w14:paraId="146AB4A9" w14:textId="77777777" w:rsidR="00F06669" w:rsidRPr="00657FB2" w:rsidRDefault="00F06669" w:rsidP="00657FB2">
            <w:pPr>
              <w:spacing w:after="160" w:line="276" w:lineRule="auto"/>
              <w:rPr>
                <w:rFonts w:eastAsia="Calibri" w:cs="Arial"/>
                <w:b/>
                <w:bCs/>
                <w:i/>
                <w:iCs/>
                <w:color w:val="FFFFFF"/>
                <w:sz w:val="21"/>
                <w:szCs w:val="21"/>
                <w:lang w:eastAsia="en-US"/>
              </w:rPr>
            </w:pPr>
            <w:r w:rsidRPr="00657FB2">
              <w:rPr>
                <w:rFonts w:eastAsia="Calibri"/>
                <w:i/>
                <w:iCs/>
                <w:color w:val="FFFFFF"/>
                <w:sz w:val="21"/>
                <w:szCs w:val="21"/>
                <w:lang w:eastAsia="en-US"/>
              </w:rPr>
              <w:t>MGPA priority domain</w:t>
            </w:r>
          </w:p>
        </w:tc>
        <w:tc>
          <w:tcPr>
            <w:tcW w:w="5387" w:type="dxa"/>
            <w:shd w:val="clear" w:color="auto" w:fill="4F81BD" w:themeFill="accent1"/>
            <w:vAlign w:val="center"/>
          </w:tcPr>
          <w:p w14:paraId="5CA18668" w14:textId="77777777" w:rsidR="00F06669" w:rsidRPr="00657FB2" w:rsidRDefault="00F06669" w:rsidP="00657FB2">
            <w:pPr>
              <w:spacing w:after="160" w:line="276" w:lineRule="auto"/>
              <w:rPr>
                <w:rFonts w:eastAsia="Calibri" w:cs="Arial"/>
                <w:i/>
                <w:iCs/>
                <w:color w:val="FFFFFF"/>
                <w:sz w:val="21"/>
                <w:szCs w:val="21"/>
                <w:lang w:eastAsia="en-US"/>
              </w:rPr>
            </w:pPr>
            <w:r w:rsidRPr="00657FB2">
              <w:rPr>
                <w:rFonts w:eastAsia="Calibri" w:cs="Arial"/>
                <w:b/>
                <w:bCs/>
                <w:color w:val="FFFFFF"/>
                <w:sz w:val="21"/>
                <w:szCs w:val="21"/>
                <w:lang w:eastAsia="en-US"/>
              </w:rPr>
              <w:t xml:space="preserve">Assessment criteria (as per Part B Guidance: Non-clinical) </w:t>
            </w:r>
            <w:r w:rsidRPr="00657FB2">
              <w:rPr>
                <w:rFonts w:eastAsia="Calibri" w:cs="Arial"/>
                <w:i/>
                <w:iCs/>
                <w:color w:val="FFFFFF"/>
                <w:sz w:val="21"/>
                <w:szCs w:val="21"/>
                <w:lang w:eastAsia="en-US"/>
              </w:rPr>
              <w:t>All PCN practices to have following components in place and these continue to remain in place</w:t>
            </w:r>
          </w:p>
        </w:tc>
        <w:tc>
          <w:tcPr>
            <w:tcW w:w="5670" w:type="dxa"/>
            <w:shd w:val="clear" w:color="auto" w:fill="4F81BD" w:themeFill="accent1"/>
            <w:vAlign w:val="center"/>
          </w:tcPr>
          <w:p w14:paraId="3BAE1F28" w14:textId="77777777" w:rsidR="00F06669" w:rsidRPr="00657FB2" w:rsidRDefault="00F06669" w:rsidP="00657FB2">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Expectation / Clarification</w:t>
            </w:r>
          </w:p>
        </w:tc>
        <w:tc>
          <w:tcPr>
            <w:tcW w:w="1843" w:type="dxa"/>
            <w:shd w:val="clear" w:color="auto" w:fill="4F81BD" w:themeFill="accent1"/>
          </w:tcPr>
          <w:p w14:paraId="21EE1BD2" w14:textId="77777777" w:rsidR="00F06669" w:rsidRDefault="00F06669" w:rsidP="00F06669">
            <w:pPr>
              <w:spacing w:after="160" w:line="276" w:lineRule="auto"/>
              <w:jc w:val="center"/>
              <w:rPr>
                <w:rFonts w:eastAsia="Calibri" w:cs="Arial"/>
                <w:b/>
                <w:bCs/>
                <w:color w:val="FFFFFF"/>
                <w:sz w:val="21"/>
                <w:szCs w:val="21"/>
                <w:lang w:eastAsia="en-US"/>
              </w:rPr>
            </w:pPr>
            <w:r>
              <w:rPr>
                <w:rFonts w:eastAsia="Calibri" w:cs="Arial"/>
                <w:b/>
                <w:bCs/>
                <w:color w:val="FFFFFF"/>
                <w:sz w:val="21"/>
                <w:szCs w:val="21"/>
                <w:lang w:eastAsia="en-US"/>
              </w:rPr>
              <w:t>All actions complete for all PCN Practices</w:t>
            </w:r>
          </w:p>
          <w:p w14:paraId="46AE1C68" w14:textId="77777777" w:rsidR="00F06669" w:rsidRPr="00657FB2" w:rsidRDefault="00F06669" w:rsidP="00F06669">
            <w:pPr>
              <w:spacing w:after="160" w:line="276" w:lineRule="auto"/>
              <w:jc w:val="center"/>
              <w:rPr>
                <w:rFonts w:eastAsia="Calibri" w:cs="Arial"/>
                <w:b/>
                <w:bCs/>
                <w:color w:val="FFFFFF"/>
                <w:sz w:val="21"/>
                <w:szCs w:val="21"/>
                <w:lang w:eastAsia="en-US"/>
              </w:rPr>
            </w:pPr>
            <w:r>
              <w:rPr>
                <w:rFonts w:eastAsia="Calibri" w:cs="Arial"/>
                <w:b/>
                <w:bCs/>
                <w:color w:val="FFFFFF"/>
                <w:sz w:val="21"/>
                <w:szCs w:val="21"/>
                <w:lang w:eastAsia="en-US"/>
              </w:rPr>
              <w:t>Y/N</w:t>
            </w:r>
          </w:p>
        </w:tc>
      </w:tr>
      <w:tr w:rsidR="00F06669" w:rsidRPr="00657FB2" w14:paraId="5FE3C7D6" w14:textId="77777777" w:rsidTr="00F06669">
        <w:trPr>
          <w:trHeight w:val="54"/>
        </w:trPr>
        <w:tc>
          <w:tcPr>
            <w:tcW w:w="1701" w:type="dxa"/>
            <w:vMerge w:val="restart"/>
          </w:tcPr>
          <w:p w14:paraId="1C4CDDAD" w14:textId="77777777" w:rsidR="00F06669" w:rsidRPr="00657FB2" w:rsidRDefault="00F06669" w:rsidP="00657FB2">
            <w:pPr>
              <w:spacing w:after="160" w:line="276" w:lineRule="auto"/>
              <w:rPr>
                <w:rFonts w:eastAsia="Calibri" w:cs="Arial"/>
                <w:b/>
                <w:bCs/>
                <w:color w:val="231F20"/>
                <w:sz w:val="21"/>
                <w:szCs w:val="21"/>
                <w:lang w:eastAsia="en-US"/>
              </w:rPr>
            </w:pPr>
            <w:r w:rsidRPr="00657FB2">
              <w:rPr>
                <w:rFonts w:eastAsia="Calibri" w:cs="Arial"/>
                <w:b/>
                <w:bCs/>
                <w:color w:val="231F20"/>
                <w:sz w:val="21"/>
                <w:szCs w:val="21"/>
                <w:lang w:eastAsia="en-US"/>
              </w:rPr>
              <w:t>2) Simpler online requests</w:t>
            </w:r>
          </w:p>
        </w:tc>
        <w:tc>
          <w:tcPr>
            <w:tcW w:w="5387" w:type="dxa"/>
          </w:tcPr>
          <w:p w14:paraId="4BE0EC78" w14:textId="02D0E07B" w:rsidR="00F06669" w:rsidRPr="00657FB2" w:rsidRDefault="00F06669" w:rsidP="00657FB2">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Online consultation (OC) is available for patients to make administrative and clinical requests at least for the duration of core hours (08.00-18.30 Mon-Fri</w:t>
            </w:r>
            <w:proofErr w:type="gramStart"/>
            <w:r w:rsidRPr="00657FB2">
              <w:rPr>
                <w:rFonts w:eastAsia="Calibri" w:cs="Arial"/>
                <w:color w:val="231F20"/>
                <w:sz w:val="21"/>
                <w:szCs w:val="21"/>
                <w:lang w:eastAsia="en-US"/>
              </w:rPr>
              <w:t>).</w:t>
            </w:r>
            <w:r w:rsidR="00C80483">
              <w:rPr>
                <w:rFonts w:eastAsia="Calibri" w:cs="Arial"/>
                <w:color w:val="231F20"/>
                <w:sz w:val="21"/>
                <w:szCs w:val="21"/>
                <w:lang w:eastAsia="en-US"/>
              </w:rPr>
              <w:t>*</w:t>
            </w:r>
            <w:proofErr w:type="gramEnd"/>
          </w:p>
        </w:tc>
        <w:tc>
          <w:tcPr>
            <w:tcW w:w="5670" w:type="dxa"/>
          </w:tcPr>
          <w:p w14:paraId="0EDCA165" w14:textId="77777777" w:rsidR="00F06669" w:rsidRPr="00657FB2" w:rsidRDefault="00F06669" w:rsidP="00657FB2">
            <w:pPr>
              <w:numPr>
                <w:ilvl w:val="0"/>
                <w:numId w:val="42"/>
              </w:numPr>
              <w:spacing w:after="160" w:line="276" w:lineRule="auto"/>
              <w:contextualSpacing/>
              <w:rPr>
                <w:rFonts w:eastAsia="Calibri" w:cs="Arial"/>
                <w:color w:val="231F20"/>
                <w:sz w:val="21"/>
                <w:szCs w:val="21"/>
                <w:lang w:eastAsia="en-US"/>
              </w:rPr>
            </w:pPr>
            <w:r w:rsidRPr="00657FB2">
              <w:rPr>
                <w:rFonts w:eastAsia="Calibri" w:cs="Arial"/>
                <w:color w:val="231F20"/>
                <w:sz w:val="21"/>
                <w:szCs w:val="21"/>
                <w:lang w:eastAsia="en-US"/>
              </w:rPr>
              <w:t>All practices should publicise their OC service to patients and make OCs available to patients in parity with telephone and walk-in provision in core hours for at least the previous month</w:t>
            </w:r>
          </w:p>
          <w:p w14:paraId="41286573" w14:textId="77777777" w:rsidR="00F06669" w:rsidRPr="00657FB2" w:rsidRDefault="00F06669" w:rsidP="00657FB2">
            <w:pPr>
              <w:numPr>
                <w:ilvl w:val="0"/>
                <w:numId w:val="42"/>
              </w:numPr>
              <w:spacing w:after="160" w:line="276" w:lineRule="auto"/>
              <w:contextualSpacing/>
              <w:rPr>
                <w:rFonts w:eastAsia="Calibri" w:cs="Arial"/>
                <w:color w:val="231F20"/>
                <w:sz w:val="21"/>
                <w:szCs w:val="21"/>
                <w:lang w:eastAsia="en-US"/>
              </w:rPr>
            </w:pPr>
            <w:r w:rsidRPr="00657FB2">
              <w:rPr>
                <w:rFonts w:eastAsia="Calibri" w:cs="Arial"/>
                <w:color w:val="231F20"/>
                <w:sz w:val="21"/>
                <w:szCs w:val="21"/>
                <w:lang w:eastAsia="en-US"/>
              </w:rPr>
              <w:t>PCNs should continue to maintain OC provision throughout the year</w:t>
            </w:r>
          </w:p>
          <w:p w14:paraId="45C8CABD" w14:textId="77777777" w:rsidR="00F06669" w:rsidRPr="00657FB2" w:rsidRDefault="00F06669" w:rsidP="00657FB2">
            <w:pPr>
              <w:numPr>
                <w:ilvl w:val="0"/>
                <w:numId w:val="42"/>
              </w:numPr>
              <w:spacing w:after="160" w:line="276" w:lineRule="auto"/>
              <w:contextualSpacing/>
              <w:rPr>
                <w:rFonts w:eastAsia="Calibri" w:cs="Arial"/>
                <w:color w:val="231F20"/>
                <w:sz w:val="21"/>
                <w:szCs w:val="21"/>
                <w:lang w:eastAsia="en-US"/>
              </w:rPr>
            </w:pPr>
            <w:r w:rsidRPr="00657FB2">
              <w:rPr>
                <w:rFonts w:eastAsia="Calibri" w:cs="Arial"/>
                <w:color w:val="231F20"/>
                <w:sz w:val="21"/>
                <w:szCs w:val="21"/>
                <w:lang w:eastAsia="en-US"/>
              </w:rPr>
              <w:t>Practices within PCN should not turn their OC systems off during the day (e.g. before the end of the day, or when experiencing high demand)</w:t>
            </w:r>
          </w:p>
          <w:p w14:paraId="431685F5" w14:textId="77777777" w:rsidR="00F06669" w:rsidRPr="00657FB2" w:rsidRDefault="00F06669" w:rsidP="00657FB2">
            <w:pPr>
              <w:numPr>
                <w:ilvl w:val="0"/>
                <w:numId w:val="42"/>
              </w:numPr>
              <w:spacing w:after="160" w:line="276" w:lineRule="auto"/>
              <w:contextualSpacing/>
              <w:rPr>
                <w:rFonts w:eastAsia="Calibri" w:cs="Arial"/>
                <w:color w:val="231F20"/>
                <w:sz w:val="21"/>
                <w:szCs w:val="21"/>
                <w:lang w:eastAsia="en-US"/>
              </w:rPr>
            </w:pPr>
            <w:r w:rsidRPr="00657FB2">
              <w:rPr>
                <w:rFonts w:eastAsia="Calibri" w:cs="Arial"/>
                <w:color w:val="231F20"/>
                <w:sz w:val="21"/>
                <w:szCs w:val="21"/>
                <w:lang w:eastAsia="en-US"/>
              </w:rPr>
              <w:t>In exceptional circumstances, if it is deemed appropriate for a practice to turn off its OC system, the practice should notify the commissioner and PCN in line with agreed business continuity plans</w:t>
            </w:r>
          </w:p>
        </w:tc>
        <w:tc>
          <w:tcPr>
            <w:tcW w:w="1843" w:type="dxa"/>
          </w:tcPr>
          <w:p w14:paraId="521DE4EA" w14:textId="77777777" w:rsidR="00F06669" w:rsidRPr="00657FB2" w:rsidRDefault="00F06669" w:rsidP="00F06669">
            <w:pPr>
              <w:spacing w:after="160" w:line="276" w:lineRule="auto"/>
              <w:contextualSpacing/>
              <w:rPr>
                <w:rFonts w:eastAsia="Calibri" w:cs="Arial"/>
                <w:color w:val="231F20"/>
                <w:sz w:val="21"/>
                <w:szCs w:val="21"/>
                <w:lang w:eastAsia="en-US"/>
              </w:rPr>
            </w:pPr>
          </w:p>
        </w:tc>
      </w:tr>
      <w:tr w:rsidR="00F06669" w:rsidRPr="00657FB2" w14:paraId="23C85CAD" w14:textId="77777777" w:rsidTr="00F06669">
        <w:trPr>
          <w:trHeight w:val="54"/>
        </w:trPr>
        <w:tc>
          <w:tcPr>
            <w:tcW w:w="1701" w:type="dxa"/>
            <w:vMerge/>
          </w:tcPr>
          <w:p w14:paraId="40764CFC" w14:textId="77777777" w:rsidR="00F06669" w:rsidRPr="00657FB2" w:rsidRDefault="00F06669" w:rsidP="00657FB2">
            <w:pPr>
              <w:spacing w:after="160" w:line="276" w:lineRule="auto"/>
              <w:rPr>
                <w:rFonts w:eastAsia="Calibri" w:cs="Arial"/>
                <w:b/>
                <w:bCs/>
                <w:color w:val="231F20"/>
                <w:sz w:val="21"/>
                <w:szCs w:val="21"/>
                <w:lang w:eastAsia="en-US"/>
              </w:rPr>
            </w:pPr>
          </w:p>
        </w:tc>
        <w:tc>
          <w:tcPr>
            <w:tcW w:w="5387" w:type="dxa"/>
          </w:tcPr>
          <w:p w14:paraId="15743D23" w14:textId="224091D2" w:rsidR="00F06669" w:rsidRPr="00657FB2" w:rsidRDefault="00F06669" w:rsidP="00657FB2">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 xml:space="preserve">Practices have agreed to </w:t>
            </w:r>
            <w:hyperlink r:id="rId19" w:history="1">
              <w:r w:rsidRPr="00657FB2">
                <w:rPr>
                  <w:rFonts w:eastAsia="Calibri" w:cs="Arial"/>
                  <w:color w:val="0563C1"/>
                  <w:sz w:val="21"/>
                  <w:szCs w:val="21"/>
                  <w:u w:val="single"/>
                  <w:lang w:eastAsia="en-US"/>
                </w:rPr>
                <w:t>the relevant data provision notice</w:t>
              </w:r>
            </w:hyperlink>
            <w:r w:rsidRPr="00657FB2">
              <w:rPr>
                <w:rFonts w:eastAsia="Calibri" w:cs="Arial"/>
                <w:color w:val="231F20"/>
                <w:sz w:val="21"/>
                <w:szCs w:val="21"/>
                <w:lang w:eastAsia="en-US"/>
              </w:rPr>
              <w:t xml:space="preserve"> (DPN) so that data can be provided by the supplier to NHS England as part of the </w:t>
            </w:r>
            <w:hyperlink r:id="rId20" w:history="1">
              <w:r w:rsidRPr="00657FB2">
                <w:rPr>
                  <w:rFonts w:eastAsia="Calibri" w:cs="Arial"/>
                  <w:color w:val="0563C1"/>
                  <w:sz w:val="21"/>
                  <w:szCs w:val="21"/>
                  <w:u w:val="single"/>
                  <w:lang w:eastAsia="en-US"/>
                </w:rPr>
                <w:t>‘submissions via online consultation</w:t>
              </w:r>
            </w:hyperlink>
            <w:r w:rsidRPr="00657FB2">
              <w:rPr>
                <w:rFonts w:eastAsia="Calibri" w:cs="Arial"/>
                <w:color w:val="231F20"/>
                <w:sz w:val="21"/>
                <w:szCs w:val="21"/>
                <w:lang w:eastAsia="en-US"/>
              </w:rPr>
              <w:t xml:space="preserve"> </w:t>
            </w:r>
            <w:hyperlink r:id="rId21" w:history="1">
              <w:r w:rsidRPr="00657FB2">
                <w:rPr>
                  <w:rFonts w:eastAsia="Calibri" w:cs="Arial"/>
                  <w:color w:val="0563C1"/>
                  <w:sz w:val="21"/>
                  <w:szCs w:val="21"/>
                  <w:u w:val="single"/>
                  <w:lang w:eastAsia="en-US"/>
                </w:rPr>
                <w:t>systems in general practice’</w:t>
              </w:r>
            </w:hyperlink>
            <w:r w:rsidRPr="00657FB2">
              <w:rPr>
                <w:rFonts w:eastAsia="Calibri" w:cs="Arial"/>
                <w:color w:val="231F20"/>
                <w:sz w:val="21"/>
                <w:szCs w:val="21"/>
                <w:lang w:eastAsia="en-US"/>
              </w:rPr>
              <w:t xml:space="preserve"> publication.</w:t>
            </w:r>
            <w:r w:rsidR="00C80483">
              <w:rPr>
                <w:rFonts w:eastAsia="Calibri" w:cs="Arial"/>
                <w:color w:val="231F20"/>
                <w:sz w:val="21"/>
                <w:szCs w:val="21"/>
                <w:lang w:eastAsia="en-US"/>
              </w:rPr>
              <w:t>*</w:t>
            </w:r>
          </w:p>
        </w:tc>
        <w:tc>
          <w:tcPr>
            <w:tcW w:w="5670" w:type="dxa"/>
          </w:tcPr>
          <w:p w14:paraId="275A162C" w14:textId="77777777" w:rsidR="00F06669" w:rsidRPr="00657FB2" w:rsidRDefault="00F06669" w:rsidP="00657FB2">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 xml:space="preserve">Where DPN is in </w:t>
            </w:r>
            <w:proofErr w:type="gramStart"/>
            <w:r w:rsidRPr="00657FB2">
              <w:rPr>
                <w:rFonts w:eastAsia="Calibri" w:cs="Arial"/>
                <w:color w:val="231F20"/>
                <w:sz w:val="21"/>
                <w:szCs w:val="21"/>
                <w:lang w:eastAsia="en-US"/>
              </w:rPr>
              <w:t>place</w:t>
            </w:r>
            <w:proofErr w:type="gramEnd"/>
            <w:r w:rsidRPr="00657FB2">
              <w:rPr>
                <w:rFonts w:eastAsia="Calibri" w:cs="Arial"/>
                <w:color w:val="231F20"/>
                <w:sz w:val="21"/>
                <w:szCs w:val="21"/>
                <w:lang w:eastAsia="en-US"/>
              </w:rPr>
              <w:t xml:space="preserve"> but data is not flowing to NHS England, practice / PCN is expected to support commissioners / NHS England to resolve (where possible)</w:t>
            </w:r>
          </w:p>
        </w:tc>
        <w:tc>
          <w:tcPr>
            <w:tcW w:w="1843" w:type="dxa"/>
          </w:tcPr>
          <w:p w14:paraId="46116123" w14:textId="77777777" w:rsidR="00F06669" w:rsidRPr="00657FB2" w:rsidRDefault="00F06669" w:rsidP="00657FB2">
            <w:pPr>
              <w:spacing w:after="160" w:line="276" w:lineRule="auto"/>
              <w:rPr>
                <w:rFonts w:eastAsia="Calibri" w:cs="Arial"/>
                <w:color w:val="231F20"/>
                <w:sz w:val="21"/>
                <w:szCs w:val="21"/>
                <w:lang w:eastAsia="en-US"/>
              </w:rPr>
            </w:pPr>
          </w:p>
        </w:tc>
      </w:tr>
    </w:tbl>
    <w:p w14:paraId="58980DF8" w14:textId="77777777" w:rsidR="00657FB2" w:rsidRPr="00657FB2" w:rsidRDefault="00657FB2" w:rsidP="00657FB2">
      <w:pPr>
        <w:rPr>
          <w:rFonts w:eastAsia="Calibri"/>
          <w:color w:val="231F20"/>
          <w:szCs w:val="22"/>
          <w:lang w:eastAsia="en-US"/>
        </w:rPr>
      </w:pPr>
    </w:p>
    <w:p w14:paraId="5C5CDAFA" w14:textId="77777777" w:rsidR="00657FB2" w:rsidRPr="00657FB2" w:rsidRDefault="00657FB2" w:rsidP="00657FB2">
      <w:pPr>
        <w:rPr>
          <w:rFonts w:eastAsia="Calibri"/>
          <w:color w:val="231F20"/>
          <w:sz w:val="21"/>
          <w:szCs w:val="21"/>
          <w:lang w:eastAsia="en-US"/>
        </w:rPr>
      </w:pPr>
    </w:p>
    <w:p w14:paraId="71499AA2" w14:textId="77777777" w:rsidR="00657FB2" w:rsidRPr="00657FB2" w:rsidRDefault="00657FB2" w:rsidP="00657FB2">
      <w:pPr>
        <w:rPr>
          <w:rFonts w:eastAsia="Calibri"/>
          <w:color w:val="231F20"/>
          <w:sz w:val="21"/>
          <w:szCs w:val="21"/>
          <w:lang w:eastAsia="en-US"/>
        </w:rPr>
      </w:pPr>
      <w:r w:rsidRPr="00657FB2">
        <w:rPr>
          <w:rFonts w:eastAsia="Calibri"/>
          <w:color w:val="231F20"/>
          <w:sz w:val="21"/>
          <w:szCs w:val="21"/>
          <w:lang w:eastAsia="en-US"/>
        </w:rPr>
        <w:t xml:space="preserve">Please describe the PCN approach to monitoring OC usage (e.g. logged in to the system regularly and reviewing data). </w:t>
      </w:r>
      <w:r w:rsidR="004A3ABB" w:rsidRPr="004A3ABB">
        <w:rPr>
          <w:rFonts w:eastAsia="Calibri"/>
          <w:color w:val="231F20"/>
          <w:sz w:val="21"/>
          <w:szCs w:val="21"/>
          <w:lang w:eastAsia="en-US"/>
        </w:rPr>
        <w:t xml:space="preserve">NB Where approaches differ between </w:t>
      </w:r>
      <w:proofErr w:type="gramStart"/>
      <w:r w:rsidR="004A3ABB" w:rsidRPr="004A3ABB">
        <w:rPr>
          <w:rFonts w:eastAsia="Calibri"/>
          <w:color w:val="231F20"/>
          <w:sz w:val="21"/>
          <w:szCs w:val="21"/>
          <w:lang w:eastAsia="en-US"/>
        </w:rPr>
        <w:t>practices</w:t>
      </w:r>
      <w:proofErr w:type="gramEnd"/>
      <w:r w:rsidR="004A3ABB" w:rsidRPr="004A3ABB">
        <w:rPr>
          <w:rFonts w:eastAsia="Calibri"/>
          <w:color w:val="231F20"/>
          <w:sz w:val="21"/>
          <w:szCs w:val="21"/>
          <w:lang w:eastAsia="en-US"/>
        </w:rPr>
        <w:t xml:space="preserve"> please outline the approach of each practice</w:t>
      </w:r>
    </w:p>
    <w:tbl>
      <w:tblPr>
        <w:tblStyle w:val="TableGrid"/>
        <w:tblW w:w="14596" w:type="dxa"/>
        <w:tblLook w:val="04A0" w:firstRow="1" w:lastRow="0" w:firstColumn="1" w:lastColumn="0" w:noHBand="0" w:noVBand="1"/>
      </w:tblPr>
      <w:tblGrid>
        <w:gridCol w:w="14596"/>
      </w:tblGrid>
      <w:tr w:rsidR="004A3ABB" w14:paraId="22A07B38" w14:textId="77777777" w:rsidTr="004A3ABB">
        <w:tc>
          <w:tcPr>
            <w:tcW w:w="14596" w:type="dxa"/>
          </w:tcPr>
          <w:p w14:paraId="2FBE35AF" w14:textId="77777777" w:rsidR="004A3ABB" w:rsidRDefault="004A3ABB" w:rsidP="00657FB2">
            <w:pPr>
              <w:rPr>
                <w:rFonts w:eastAsia="Calibri"/>
                <w:color w:val="231F20"/>
                <w:sz w:val="21"/>
                <w:szCs w:val="21"/>
                <w:lang w:eastAsia="en-US"/>
              </w:rPr>
            </w:pPr>
          </w:p>
          <w:p w14:paraId="2F1E4594" w14:textId="77777777" w:rsidR="004A3ABB" w:rsidRDefault="004A3ABB" w:rsidP="00657FB2">
            <w:pPr>
              <w:rPr>
                <w:rFonts w:eastAsia="Calibri"/>
                <w:color w:val="231F20"/>
                <w:sz w:val="21"/>
                <w:szCs w:val="21"/>
                <w:lang w:eastAsia="en-US"/>
              </w:rPr>
            </w:pPr>
          </w:p>
          <w:p w14:paraId="376011C9" w14:textId="77777777" w:rsidR="004A3ABB" w:rsidRDefault="004A3ABB" w:rsidP="00657FB2">
            <w:pPr>
              <w:rPr>
                <w:rFonts w:eastAsia="Calibri"/>
                <w:color w:val="231F20"/>
                <w:sz w:val="21"/>
                <w:szCs w:val="21"/>
                <w:lang w:eastAsia="en-US"/>
              </w:rPr>
            </w:pPr>
          </w:p>
          <w:p w14:paraId="7B972FBF" w14:textId="77777777" w:rsidR="004A3ABB" w:rsidRDefault="004A3ABB" w:rsidP="00657FB2">
            <w:pPr>
              <w:rPr>
                <w:rFonts w:eastAsia="Calibri"/>
                <w:color w:val="231F20"/>
                <w:sz w:val="21"/>
                <w:szCs w:val="21"/>
                <w:lang w:eastAsia="en-US"/>
              </w:rPr>
            </w:pPr>
          </w:p>
          <w:p w14:paraId="720FA985" w14:textId="77777777" w:rsidR="004A3ABB" w:rsidRDefault="004A3ABB" w:rsidP="00657FB2">
            <w:pPr>
              <w:rPr>
                <w:rFonts w:eastAsia="Calibri"/>
                <w:color w:val="231F20"/>
                <w:sz w:val="21"/>
                <w:szCs w:val="21"/>
                <w:lang w:eastAsia="en-US"/>
              </w:rPr>
            </w:pPr>
          </w:p>
          <w:p w14:paraId="5DE74C2D" w14:textId="77777777" w:rsidR="004A3ABB" w:rsidRDefault="004A3ABB" w:rsidP="00657FB2">
            <w:pPr>
              <w:rPr>
                <w:rFonts w:eastAsia="Calibri"/>
                <w:color w:val="231F20"/>
                <w:sz w:val="21"/>
                <w:szCs w:val="21"/>
                <w:lang w:eastAsia="en-US"/>
              </w:rPr>
            </w:pPr>
          </w:p>
          <w:p w14:paraId="0D6233BE" w14:textId="77777777" w:rsidR="004A3ABB" w:rsidRDefault="004A3ABB" w:rsidP="00657FB2">
            <w:pPr>
              <w:rPr>
                <w:rFonts w:eastAsia="Calibri"/>
                <w:color w:val="231F20"/>
                <w:sz w:val="21"/>
                <w:szCs w:val="21"/>
                <w:lang w:eastAsia="en-US"/>
              </w:rPr>
            </w:pPr>
          </w:p>
          <w:p w14:paraId="0B67A7E4" w14:textId="77777777" w:rsidR="004A3ABB" w:rsidRDefault="004A3ABB" w:rsidP="00657FB2">
            <w:pPr>
              <w:rPr>
                <w:rFonts w:eastAsia="Calibri"/>
                <w:color w:val="231F20"/>
                <w:sz w:val="21"/>
                <w:szCs w:val="21"/>
                <w:lang w:eastAsia="en-US"/>
              </w:rPr>
            </w:pPr>
          </w:p>
        </w:tc>
      </w:tr>
    </w:tbl>
    <w:p w14:paraId="01A3DF53" w14:textId="77777777" w:rsidR="00657FB2" w:rsidRPr="00657FB2" w:rsidRDefault="00657FB2" w:rsidP="00657FB2">
      <w:pPr>
        <w:rPr>
          <w:rFonts w:eastAsia="Calibri"/>
          <w:color w:val="231F20"/>
          <w:sz w:val="21"/>
          <w:szCs w:val="21"/>
          <w:lang w:eastAsia="en-US"/>
        </w:rPr>
      </w:pPr>
    </w:p>
    <w:p w14:paraId="06BB2DAD" w14:textId="77777777" w:rsidR="00657FB2" w:rsidRPr="00657FB2" w:rsidRDefault="00657FB2" w:rsidP="00657FB2">
      <w:pPr>
        <w:rPr>
          <w:rFonts w:eastAsia="Calibri"/>
          <w:color w:val="231F20"/>
          <w:sz w:val="21"/>
          <w:szCs w:val="21"/>
          <w:lang w:eastAsia="en-US"/>
        </w:rPr>
      </w:pPr>
      <w:r w:rsidRPr="00657FB2">
        <w:rPr>
          <w:rFonts w:eastAsia="Calibri"/>
          <w:color w:val="231F20"/>
          <w:sz w:val="21"/>
          <w:szCs w:val="21"/>
          <w:lang w:eastAsia="en-US"/>
        </w:rPr>
        <w:t>PCN to use the space below to outline any local evidence to support ICB assessment (such as patient facing materials), intended further collaborative working, and how the PCN is working together to make sure they are communicating the changes and improvements they’ve been making in this domain to their patients</w:t>
      </w:r>
    </w:p>
    <w:p w14:paraId="55D3F401" w14:textId="77777777" w:rsidR="00657FB2" w:rsidRPr="00657FB2" w:rsidRDefault="00657FB2" w:rsidP="00657FB2">
      <w:pPr>
        <w:rPr>
          <w:rFonts w:eastAsia="Calibri"/>
          <w:color w:val="231F20"/>
          <w:sz w:val="21"/>
          <w:szCs w:val="21"/>
          <w:lang w:eastAsia="en-US"/>
        </w:rPr>
      </w:pPr>
    </w:p>
    <w:tbl>
      <w:tblPr>
        <w:tblStyle w:val="TableGrid"/>
        <w:tblW w:w="14596" w:type="dxa"/>
        <w:tblLook w:val="04A0" w:firstRow="1" w:lastRow="0" w:firstColumn="1" w:lastColumn="0" w:noHBand="0" w:noVBand="1"/>
      </w:tblPr>
      <w:tblGrid>
        <w:gridCol w:w="14596"/>
      </w:tblGrid>
      <w:tr w:rsidR="004A3ABB" w14:paraId="3E191035" w14:textId="77777777" w:rsidTr="004A3ABB">
        <w:tc>
          <w:tcPr>
            <w:tcW w:w="14596" w:type="dxa"/>
          </w:tcPr>
          <w:p w14:paraId="3F44AB82" w14:textId="77777777" w:rsidR="004A3ABB" w:rsidRDefault="004A3ABB" w:rsidP="004A3ABB">
            <w:pPr>
              <w:rPr>
                <w:rFonts w:eastAsia="Calibri"/>
                <w:b/>
                <w:color w:val="231F20"/>
                <w:sz w:val="21"/>
                <w:szCs w:val="21"/>
                <w:lang w:eastAsia="en-US"/>
              </w:rPr>
            </w:pPr>
          </w:p>
          <w:p w14:paraId="487473FE" w14:textId="77777777" w:rsidR="004A3ABB" w:rsidRDefault="004A3ABB" w:rsidP="004A3ABB">
            <w:pPr>
              <w:rPr>
                <w:rFonts w:eastAsia="Calibri"/>
                <w:b/>
                <w:color w:val="231F20"/>
                <w:sz w:val="21"/>
                <w:szCs w:val="21"/>
                <w:lang w:eastAsia="en-US"/>
              </w:rPr>
            </w:pPr>
          </w:p>
          <w:p w14:paraId="3692A1FA" w14:textId="77777777" w:rsidR="004A3ABB" w:rsidRDefault="004A3ABB" w:rsidP="004A3ABB">
            <w:pPr>
              <w:rPr>
                <w:rFonts w:eastAsia="Calibri"/>
                <w:b/>
                <w:color w:val="231F20"/>
                <w:sz w:val="21"/>
                <w:szCs w:val="21"/>
                <w:lang w:eastAsia="en-US"/>
              </w:rPr>
            </w:pPr>
          </w:p>
          <w:p w14:paraId="325CD155" w14:textId="77777777" w:rsidR="004A3ABB" w:rsidRDefault="004A3ABB" w:rsidP="004A3ABB">
            <w:pPr>
              <w:rPr>
                <w:rFonts w:eastAsia="Calibri"/>
                <w:b/>
                <w:color w:val="231F20"/>
                <w:sz w:val="21"/>
                <w:szCs w:val="21"/>
                <w:lang w:eastAsia="en-US"/>
              </w:rPr>
            </w:pPr>
          </w:p>
          <w:p w14:paraId="2DD777BB" w14:textId="77777777" w:rsidR="004A3ABB" w:rsidRDefault="004A3ABB" w:rsidP="004A3ABB">
            <w:pPr>
              <w:rPr>
                <w:rFonts w:eastAsia="Calibri"/>
                <w:b/>
                <w:color w:val="231F20"/>
                <w:sz w:val="21"/>
                <w:szCs w:val="21"/>
                <w:lang w:eastAsia="en-US"/>
              </w:rPr>
            </w:pPr>
          </w:p>
        </w:tc>
      </w:tr>
    </w:tbl>
    <w:p w14:paraId="628FA1D6" w14:textId="77777777" w:rsidR="004A3ABB" w:rsidRDefault="004A3ABB" w:rsidP="004A3ABB">
      <w:pPr>
        <w:rPr>
          <w:rFonts w:eastAsia="Calibri"/>
          <w:b/>
          <w:color w:val="231F20"/>
          <w:sz w:val="21"/>
          <w:szCs w:val="21"/>
          <w:lang w:eastAsia="en-US"/>
        </w:rPr>
      </w:pPr>
    </w:p>
    <w:p w14:paraId="3B406DC0" w14:textId="77777777" w:rsidR="004A3ABB" w:rsidRPr="003906D1" w:rsidRDefault="004A3ABB" w:rsidP="004A3ABB">
      <w:pPr>
        <w:rPr>
          <w:rFonts w:eastAsia="Calibri"/>
          <w:b/>
          <w:color w:val="231F20"/>
          <w:szCs w:val="22"/>
          <w:lang w:eastAsia="en-US"/>
        </w:rPr>
      </w:pPr>
    </w:p>
    <w:p w14:paraId="31BF44E1" w14:textId="77777777" w:rsidR="004A3ABB" w:rsidRPr="003906D1" w:rsidRDefault="004A3ABB" w:rsidP="004A3ABB">
      <w:pPr>
        <w:rPr>
          <w:rFonts w:eastAsia="Calibri"/>
          <w:b/>
          <w:color w:val="231F20"/>
          <w:szCs w:val="22"/>
          <w:lang w:eastAsia="en-US"/>
        </w:rPr>
      </w:pPr>
      <w:r w:rsidRPr="003906D1">
        <w:rPr>
          <w:rFonts w:eastAsia="Calibri"/>
          <w:b/>
          <w:color w:val="231F20"/>
          <w:szCs w:val="22"/>
          <w:lang w:eastAsia="en-US"/>
        </w:rPr>
        <w:t>DECLARATION</w:t>
      </w:r>
    </w:p>
    <w:p w14:paraId="11C23552" w14:textId="77777777" w:rsidR="004A3ABB" w:rsidRPr="003906D1" w:rsidRDefault="004A3ABB" w:rsidP="004A3ABB">
      <w:pPr>
        <w:rPr>
          <w:rFonts w:eastAsia="Calibri"/>
          <w:color w:val="231F20"/>
          <w:szCs w:val="22"/>
          <w:lang w:eastAsia="en-US"/>
        </w:rPr>
      </w:pPr>
    </w:p>
    <w:p w14:paraId="62844C80" w14:textId="77777777" w:rsidR="004A3ABB" w:rsidRPr="003906D1" w:rsidRDefault="004A3ABB" w:rsidP="004A3ABB">
      <w:pPr>
        <w:rPr>
          <w:rFonts w:eastAsia="Calibri"/>
          <w:color w:val="231F20"/>
          <w:szCs w:val="22"/>
          <w:lang w:eastAsia="en-US"/>
        </w:rPr>
      </w:pPr>
      <w:r w:rsidRPr="003906D1">
        <w:rPr>
          <w:rFonts w:eastAsia="Calibri"/>
          <w:color w:val="231F20"/>
          <w:szCs w:val="22"/>
          <w:lang w:eastAsia="en-US"/>
        </w:rPr>
        <w:t>I, the PCN Clinical Director confirm that all practices within the PCN:</w:t>
      </w:r>
    </w:p>
    <w:p w14:paraId="0877AFCF" w14:textId="77777777" w:rsidR="004A3ABB" w:rsidRPr="003906D1" w:rsidRDefault="004A3ABB" w:rsidP="004A3ABB">
      <w:pPr>
        <w:rPr>
          <w:rFonts w:eastAsia="Calibri"/>
          <w:color w:val="231F20"/>
          <w:szCs w:val="22"/>
          <w:lang w:eastAsia="en-US"/>
        </w:rPr>
      </w:pPr>
    </w:p>
    <w:p w14:paraId="72A03B7D" w14:textId="77777777" w:rsidR="004A3ABB" w:rsidRPr="003906D1" w:rsidRDefault="004A3ABB" w:rsidP="004A3ABB">
      <w:pPr>
        <w:rPr>
          <w:rFonts w:eastAsia="Calibri"/>
          <w:color w:val="231F20"/>
          <w:szCs w:val="22"/>
          <w:lang w:eastAsia="en-US"/>
        </w:rPr>
      </w:pPr>
      <w:r w:rsidRPr="003906D1">
        <w:rPr>
          <w:rFonts w:eastAsia="Calibri"/>
          <w:color w:val="231F20"/>
          <w:szCs w:val="22"/>
          <w:lang w:eastAsia="en-US"/>
        </w:rPr>
        <w:t>•</w:t>
      </w:r>
      <w:r w:rsidRPr="003906D1">
        <w:rPr>
          <w:rFonts w:eastAsia="Calibri"/>
          <w:color w:val="231F20"/>
          <w:szCs w:val="22"/>
          <w:lang w:eastAsia="en-US"/>
        </w:rPr>
        <w:tab/>
        <w:t>have an OC solution implemented, which is available throughout core hours and publicised to patients</w:t>
      </w:r>
    </w:p>
    <w:p w14:paraId="08171975" w14:textId="77777777" w:rsidR="004A3ABB" w:rsidRPr="003906D1" w:rsidRDefault="004A3ABB" w:rsidP="004A3ABB">
      <w:pPr>
        <w:rPr>
          <w:rFonts w:eastAsia="Calibri"/>
          <w:color w:val="231F20"/>
          <w:szCs w:val="22"/>
          <w:lang w:eastAsia="en-US"/>
        </w:rPr>
      </w:pPr>
      <w:r w:rsidRPr="003906D1">
        <w:rPr>
          <w:rFonts w:eastAsia="Calibri"/>
          <w:color w:val="231F20"/>
          <w:szCs w:val="22"/>
          <w:lang w:eastAsia="en-US"/>
        </w:rPr>
        <w:t>•</w:t>
      </w:r>
      <w:r w:rsidRPr="003906D1">
        <w:rPr>
          <w:rFonts w:eastAsia="Calibri"/>
          <w:color w:val="231F20"/>
          <w:szCs w:val="22"/>
          <w:lang w:eastAsia="en-US"/>
        </w:rPr>
        <w:tab/>
        <w:t>have committed to maintain OC provision throughout the year</w:t>
      </w:r>
    </w:p>
    <w:p w14:paraId="79385852" w14:textId="77777777" w:rsidR="004A3ABB" w:rsidRPr="003906D1" w:rsidRDefault="004A3ABB" w:rsidP="004A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olor w:val="231F20"/>
          <w:szCs w:val="22"/>
          <w:lang w:eastAsia="en-US"/>
        </w:rPr>
      </w:pPr>
      <w:r w:rsidRPr="003906D1">
        <w:rPr>
          <w:rFonts w:eastAsia="Calibri"/>
          <w:color w:val="231F20"/>
          <w:szCs w:val="22"/>
          <w:lang w:eastAsia="en-US"/>
        </w:rPr>
        <w:t>•</w:t>
      </w:r>
      <w:r w:rsidRPr="003906D1">
        <w:rPr>
          <w:rFonts w:eastAsia="Calibri"/>
          <w:color w:val="231F20"/>
          <w:szCs w:val="22"/>
          <w:lang w:eastAsia="en-US"/>
        </w:rPr>
        <w:tab/>
        <w:t>have submitted a DPN to NHS England to enable the flow to OC data from the local system supplier</w:t>
      </w:r>
      <w:r w:rsidRPr="003906D1">
        <w:rPr>
          <w:rFonts w:eastAsia="Calibri"/>
          <w:color w:val="231F20"/>
          <w:szCs w:val="22"/>
          <w:lang w:eastAsia="en-US"/>
        </w:rPr>
        <w:tab/>
      </w:r>
    </w:p>
    <w:p w14:paraId="01A13230" w14:textId="77777777" w:rsidR="004A3ABB" w:rsidRPr="003906D1" w:rsidRDefault="004A3ABB" w:rsidP="004A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olor w:val="231F20"/>
          <w:szCs w:val="22"/>
          <w:lang w:eastAsia="en-US"/>
        </w:rPr>
      </w:pPr>
      <w:r w:rsidRPr="003906D1">
        <w:rPr>
          <w:rFonts w:eastAsia="Calibri"/>
          <w:color w:val="231F20"/>
          <w:szCs w:val="22"/>
          <w:lang w:eastAsia="en-US"/>
        </w:rPr>
        <w:t>•</w:t>
      </w:r>
      <w:r w:rsidRPr="003906D1">
        <w:rPr>
          <w:rFonts w:eastAsia="Calibri"/>
          <w:color w:val="231F20"/>
          <w:szCs w:val="22"/>
          <w:lang w:eastAsia="en-US"/>
        </w:rPr>
        <w:tab/>
        <w:t>that information provided on this form is accurate to the best of my knowledge</w:t>
      </w:r>
    </w:p>
    <w:p w14:paraId="200EFA3C" w14:textId="77777777" w:rsidR="004A3ABB" w:rsidRPr="003906D1" w:rsidRDefault="004A3ABB" w:rsidP="004A3ABB">
      <w:pPr>
        <w:rPr>
          <w:rFonts w:eastAsia="Calibri"/>
          <w:color w:val="231F20"/>
          <w:szCs w:val="22"/>
          <w:lang w:eastAsia="en-US"/>
        </w:rPr>
      </w:pPr>
    </w:p>
    <w:p w14:paraId="79A29C5F" w14:textId="77777777" w:rsidR="004A3ABB" w:rsidRPr="003906D1" w:rsidRDefault="004A3ABB" w:rsidP="004A3ABB">
      <w:pPr>
        <w:rPr>
          <w:rFonts w:eastAsia="Calibri"/>
          <w:color w:val="231F20"/>
          <w:szCs w:val="22"/>
          <w:lang w:eastAsia="en-US"/>
        </w:rPr>
      </w:pPr>
    </w:p>
    <w:tbl>
      <w:tblPr>
        <w:tblStyle w:val="TableGrid"/>
        <w:tblW w:w="14596" w:type="dxa"/>
        <w:tblLook w:val="04A0" w:firstRow="1" w:lastRow="0" w:firstColumn="1" w:lastColumn="0" w:noHBand="0" w:noVBand="1"/>
      </w:tblPr>
      <w:tblGrid>
        <w:gridCol w:w="6974"/>
        <w:gridCol w:w="7622"/>
      </w:tblGrid>
      <w:tr w:rsidR="006E6A22" w:rsidRPr="00E10348" w14:paraId="70701A51" w14:textId="77777777" w:rsidTr="00F06669">
        <w:tc>
          <w:tcPr>
            <w:tcW w:w="14596" w:type="dxa"/>
            <w:gridSpan w:val="2"/>
          </w:tcPr>
          <w:p w14:paraId="6E55E647"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Name and ODS no.:</w:t>
            </w:r>
          </w:p>
        </w:tc>
      </w:tr>
      <w:tr w:rsidR="006E6A22" w:rsidRPr="00E10348" w14:paraId="253387B0" w14:textId="77777777" w:rsidTr="00F06669">
        <w:tc>
          <w:tcPr>
            <w:tcW w:w="6974" w:type="dxa"/>
          </w:tcPr>
          <w:p w14:paraId="17AE7E41"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Practices (Name and ODS No.)</w:t>
            </w:r>
          </w:p>
          <w:p w14:paraId="1C2E3B96" w14:textId="77777777" w:rsidR="006E6A22" w:rsidRPr="00E10348" w:rsidRDefault="006E6A22" w:rsidP="00D45742">
            <w:pPr>
              <w:rPr>
                <w:rFonts w:eastAsia="Calibri"/>
                <w:b/>
                <w:color w:val="231F20"/>
                <w:szCs w:val="22"/>
                <w:lang w:eastAsia="en-US"/>
              </w:rPr>
            </w:pPr>
            <w:r w:rsidRPr="00E10348">
              <w:rPr>
                <w:rFonts w:eastAsia="Calibri"/>
                <w:b/>
                <w:color w:val="231F20"/>
                <w:szCs w:val="22"/>
                <w:lang w:eastAsia="en-US"/>
              </w:rPr>
              <w:t xml:space="preserve">1. </w:t>
            </w:r>
          </w:p>
          <w:p w14:paraId="34B0B745" w14:textId="77777777" w:rsidR="006E6A22" w:rsidRPr="00E10348" w:rsidRDefault="006E6A22" w:rsidP="00D45742">
            <w:pPr>
              <w:rPr>
                <w:rFonts w:eastAsia="Calibri"/>
                <w:b/>
                <w:color w:val="231F20"/>
                <w:szCs w:val="22"/>
                <w:lang w:eastAsia="en-US"/>
              </w:rPr>
            </w:pPr>
            <w:r w:rsidRPr="00E10348">
              <w:rPr>
                <w:rFonts w:eastAsia="Calibri"/>
                <w:b/>
                <w:color w:val="231F20"/>
                <w:szCs w:val="22"/>
                <w:lang w:eastAsia="en-US"/>
              </w:rPr>
              <w:t xml:space="preserve">2. </w:t>
            </w:r>
          </w:p>
        </w:tc>
        <w:tc>
          <w:tcPr>
            <w:tcW w:w="7622" w:type="dxa"/>
          </w:tcPr>
          <w:p w14:paraId="7A739A5E"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3.</w:t>
            </w:r>
          </w:p>
          <w:p w14:paraId="3FF61337"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 xml:space="preserve">4. </w:t>
            </w:r>
          </w:p>
          <w:p w14:paraId="5E4C039D"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5.</w:t>
            </w:r>
          </w:p>
        </w:tc>
      </w:tr>
      <w:tr w:rsidR="006E6A22" w:rsidRPr="00E10348" w14:paraId="3EE752AE" w14:textId="77777777" w:rsidTr="00F06669">
        <w:tc>
          <w:tcPr>
            <w:tcW w:w="14596" w:type="dxa"/>
            <w:gridSpan w:val="2"/>
          </w:tcPr>
          <w:p w14:paraId="44E922C2"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CD Name:</w:t>
            </w:r>
          </w:p>
        </w:tc>
      </w:tr>
      <w:tr w:rsidR="006E6A22" w:rsidRPr="00E10348" w14:paraId="209394A4" w14:textId="77777777" w:rsidTr="00F06669">
        <w:tc>
          <w:tcPr>
            <w:tcW w:w="14596" w:type="dxa"/>
            <w:gridSpan w:val="2"/>
          </w:tcPr>
          <w:p w14:paraId="4B5BADC2"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PCD CD Signature:</w:t>
            </w:r>
          </w:p>
          <w:p w14:paraId="1725CF6F" w14:textId="77777777" w:rsidR="006E6A22" w:rsidRPr="00E10348" w:rsidRDefault="006E6A22" w:rsidP="00D45742">
            <w:pPr>
              <w:contextualSpacing/>
              <w:rPr>
                <w:rFonts w:eastAsia="Calibri"/>
                <w:b/>
                <w:color w:val="231F20"/>
                <w:szCs w:val="22"/>
                <w:lang w:eastAsia="en-US"/>
              </w:rPr>
            </w:pPr>
          </w:p>
        </w:tc>
      </w:tr>
      <w:tr w:rsidR="006E6A22" w:rsidRPr="00E10348" w14:paraId="7712A98D" w14:textId="77777777" w:rsidTr="00F06669">
        <w:tc>
          <w:tcPr>
            <w:tcW w:w="14596" w:type="dxa"/>
            <w:gridSpan w:val="2"/>
          </w:tcPr>
          <w:p w14:paraId="58BA1DB6"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Date:</w:t>
            </w:r>
          </w:p>
        </w:tc>
      </w:tr>
    </w:tbl>
    <w:p w14:paraId="21FF8FA5" w14:textId="77777777" w:rsidR="00F06669" w:rsidRDefault="00F06669" w:rsidP="00F06669">
      <w:pPr>
        <w:pStyle w:val="Heading2"/>
        <w:jc w:val="both"/>
        <w:rPr>
          <w:sz w:val="24"/>
          <w:szCs w:val="24"/>
        </w:rPr>
      </w:pPr>
    </w:p>
    <w:p w14:paraId="4BA68E37" w14:textId="77777777" w:rsidR="00C80483" w:rsidRDefault="00C80483" w:rsidP="00C80483"/>
    <w:p w14:paraId="64BDE1B9" w14:textId="77777777" w:rsidR="00C80483" w:rsidRDefault="00C80483" w:rsidP="00C80483"/>
    <w:p w14:paraId="280134D1" w14:textId="77777777" w:rsidR="00C80483" w:rsidRDefault="00C80483" w:rsidP="00C80483"/>
    <w:p w14:paraId="1B6A4360" w14:textId="77777777" w:rsidR="00C80483" w:rsidRDefault="00C80483" w:rsidP="00C80483"/>
    <w:p w14:paraId="7450D6DE" w14:textId="39DF468C" w:rsidR="00C80483" w:rsidRPr="00C80483" w:rsidRDefault="00C80483" w:rsidP="00C80483">
      <w:r>
        <w:rPr>
          <w:rFonts w:eastAsia="Calibri"/>
          <w:noProof/>
          <w:color w:val="231F20"/>
          <w:sz w:val="21"/>
          <w:szCs w:val="21"/>
          <w:lang w:eastAsia="en-US"/>
        </w:rPr>
        <mc:AlternateContent>
          <mc:Choice Requires="wps">
            <w:drawing>
              <wp:anchor distT="0" distB="0" distL="114300" distR="114300" simplePos="0" relativeHeight="251662336" behindDoc="0" locked="0" layoutInCell="1" allowOverlap="1" wp14:anchorId="45A24B3E" wp14:editId="7E2D66F5">
                <wp:simplePos x="0" y="0"/>
                <wp:positionH relativeFrom="column">
                  <wp:posOffset>0</wp:posOffset>
                </wp:positionH>
                <wp:positionV relativeFrom="paragraph">
                  <wp:posOffset>-635</wp:posOffset>
                </wp:positionV>
                <wp:extent cx="4313382" cy="258618"/>
                <wp:effectExtent l="0" t="0" r="5080" b="0"/>
                <wp:wrapNone/>
                <wp:docPr id="2077028519" name="Text Box 4"/>
                <wp:cNvGraphicFramePr/>
                <a:graphic xmlns:a="http://schemas.openxmlformats.org/drawingml/2006/main">
                  <a:graphicData uri="http://schemas.microsoft.com/office/word/2010/wordprocessingShape">
                    <wps:wsp>
                      <wps:cNvSpPr txBox="1"/>
                      <wps:spPr>
                        <a:xfrm>
                          <a:off x="0" y="0"/>
                          <a:ext cx="4313382" cy="258618"/>
                        </a:xfrm>
                        <a:prstGeom prst="rect">
                          <a:avLst/>
                        </a:prstGeom>
                        <a:solidFill>
                          <a:schemeClr val="lt1"/>
                        </a:solidFill>
                        <a:ln w="6350">
                          <a:noFill/>
                        </a:ln>
                      </wps:spPr>
                      <wps:txbx>
                        <w:txbxContent>
                          <w:p w14:paraId="5C4FF789" w14:textId="02A10004" w:rsidR="00C80483" w:rsidRDefault="00C80483" w:rsidP="00C80483">
                            <w:r>
                              <w:t>*</w:t>
                            </w:r>
                            <w:r>
                              <w:rPr>
                                <w:rFonts w:ascii="Aptos" w:hAnsi="Aptos"/>
                                <w:color w:val="212121"/>
                              </w:rPr>
                              <w:t>A</w:t>
                            </w:r>
                            <w:r>
                              <w:rPr>
                                <w:rFonts w:ascii="Aptos" w:hAnsi="Aptos"/>
                                <w:color w:val="212121"/>
                              </w:rPr>
                              <w:t>dditional a</w:t>
                            </w:r>
                            <w:r>
                              <w:rPr>
                                <w:rFonts w:ascii="Aptos" w:hAnsi="Aptos"/>
                                <w:color w:val="212121"/>
                              </w:rPr>
                              <w:t>ssurance to be confirmed using information the ICB 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A24B3E" id="_x0000_s1027" type="#_x0000_t202" style="position:absolute;margin-left:0;margin-top:-.05pt;width:339.65pt;height:20.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WtvLwIAAFsEAAAOAAAAZHJzL2Uyb0RvYy54bWysVE2P2yAQvVfqf0DcG8f5ajaKs0qzSlVp&#13;&#10;tbtSttozwRAjYYYCiZ3++g44X932VPWCZ5jhMfPm4fl9W2tyEM4rMAXNe31KhOFQKrMr6PfX9acp&#13;&#10;JT4wUzINRhT0KDy9X3z8MG/sTAygAl0KRxDE+FljC1qFYGdZ5nklauZ7YIXBoARXs4Cu22WlYw2i&#13;&#10;1zob9PuTrAFXWgdceI+7D12QLhK+lIKHZym9CEQXFGsLaXVp3cY1W8zZbOeYrRQ/lcH+oYqaKYOX&#13;&#10;XqAeWGBk79QfULXiDjzI0ONQZyCl4iL1gN3k/XfdbCpmReoFyfH2QpP/f7D86bCxL46E9gu0OMBI&#13;&#10;SGP9zONm7KeVro5frJRgHCk8XmgTbSAcN0fDfDicDijhGBuMp5N8GmGy62nrfPgqoCbRKKjDsSS2&#13;&#10;2OHRhy71nBIv86BVuVZaJydKQay0IweGQ9Qh1Yjgv2VpQ5qCTobjfgI2EI93yNpgLdeeohXabUtU&#13;&#10;edPvFsoj0uCgU4i3fK2w1kfmwwtzKAnsHGUennGRGvAuOFmUVOB+/m0/5uOkMEpJgxIrqP+xZ05Q&#13;&#10;or8ZnOFdPhpFTSZnNP48QMfdRra3EbOvV4AE5PigLE9mzA/6bEoH9Ru+hmW8FUPMcLy7oOFsrkIn&#13;&#10;fHxNXCyXKQlVaFl4NBvLI3QkPE7itX1jzp7GFXDQT3AWI5u9m1qXG08aWO4DSJVGGnnuWD3RjwpO&#13;&#10;oji9tvhEbv2Udf0nLH4BAAD//wMAUEsDBBQABgAIAAAAIQBXE6Uv4wAAAAoBAAAPAAAAZHJzL2Rv&#13;&#10;d25yZXYueG1sTI/NTsMwEITvSLyDtUhcUOuUQAppNhXip0jc2hQQNzdekoh4HcVuEt4ec4LLSKvR&#13;&#10;zsyXrSfTioF611hGWMwjEMSl1Q1XCPviaXYDwnnFWrWWCeGbHKzz05NMpdqOvKVh5ysRQtilCqH2&#13;&#10;vkuldGVNRrm57YiD92l7o3w4+0rqXo0h3LTyMooSaVTDoaFWHd3XVH7tjgbh46J6f3HT5nWMr+Pu&#13;&#10;8Xkolm+6QDw/mx5WQe5WIDxN/u8DfhnCfsjDsIM9snaiRQg0HmG2ABHMZHkbgzggXEUJyDyT/xHy&#13;&#10;HwAAAP//AwBQSwECLQAUAAYACAAAACEAtoM4kv4AAADhAQAAEwAAAAAAAAAAAAAAAAAAAAAAW0Nv&#13;&#10;bnRlbnRfVHlwZXNdLnhtbFBLAQItABQABgAIAAAAIQA4/SH/1gAAAJQBAAALAAAAAAAAAAAAAAAA&#13;&#10;AC8BAABfcmVscy8ucmVsc1BLAQItABQABgAIAAAAIQDCCWtvLwIAAFsEAAAOAAAAAAAAAAAAAAAA&#13;&#10;AC4CAABkcnMvZTJvRG9jLnhtbFBLAQItABQABgAIAAAAIQBXE6Uv4wAAAAoBAAAPAAAAAAAAAAAA&#13;&#10;AAAAAIkEAABkcnMvZG93bnJldi54bWxQSwUGAAAAAAQABADzAAAAmQUAAAAA&#13;&#10;" fillcolor="white [3201]" stroked="f" strokeweight=".5pt">
                <v:textbox>
                  <w:txbxContent>
                    <w:p w14:paraId="5C4FF789" w14:textId="02A10004" w:rsidR="00C80483" w:rsidRDefault="00C80483" w:rsidP="00C80483">
                      <w:r>
                        <w:t>*</w:t>
                      </w:r>
                      <w:r>
                        <w:rPr>
                          <w:rFonts w:ascii="Aptos" w:hAnsi="Aptos"/>
                          <w:color w:val="212121"/>
                        </w:rPr>
                        <w:t>A</w:t>
                      </w:r>
                      <w:r>
                        <w:rPr>
                          <w:rFonts w:ascii="Aptos" w:hAnsi="Aptos"/>
                          <w:color w:val="212121"/>
                        </w:rPr>
                        <w:t>dditional a</w:t>
                      </w:r>
                      <w:r>
                        <w:rPr>
                          <w:rFonts w:ascii="Aptos" w:hAnsi="Aptos"/>
                          <w:color w:val="212121"/>
                        </w:rPr>
                        <w:t>ssurance to be confirmed using information the ICB hold.</w:t>
                      </w:r>
                    </w:p>
                  </w:txbxContent>
                </v:textbox>
              </v:shape>
            </w:pict>
          </mc:Fallback>
        </mc:AlternateContent>
      </w:r>
    </w:p>
    <w:p w14:paraId="6436655C" w14:textId="77777777" w:rsidR="004A3ABB" w:rsidRPr="003906D1" w:rsidRDefault="004A3ABB" w:rsidP="00F06669">
      <w:pPr>
        <w:pStyle w:val="Heading2"/>
        <w:jc w:val="both"/>
        <w:rPr>
          <w:caps/>
          <w:sz w:val="24"/>
          <w:szCs w:val="24"/>
        </w:rPr>
      </w:pPr>
      <w:r w:rsidRPr="00D05CFA">
        <w:rPr>
          <w:sz w:val="24"/>
          <w:szCs w:val="24"/>
        </w:rPr>
        <w:t xml:space="preserve">SECTION </w:t>
      </w:r>
      <w:r>
        <w:rPr>
          <w:sz w:val="24"/>
          <w:szCs w:val="24"/>
        </w:rPr>
        <w:t>3</w:t>
      </w:r>
      <w:r w:rsidRPr="003906D1">
        <w:rPr>
          <w:caps/>
          <w:sz w:val="24"/>
          <w:szCs w:val="24"/>
        </w:rPr>
        <w:t>: Faster care navigation, assessment, and response</w:t>
      </w:r>
    </w:p>
    <w:p w14:paraId="15DB7203" w14:textId="77777777" w:rsidR="004A3ABB" w:rsidRPr="004A3ABB" w:rsidRDefault="004A3ABB" w:rsidP="004A3ABB">
      <w:pPr>
        <w:rPr>
          <w:rFonts w:eastAsia="Calibri"/>
          <w:color w:val="231F20"/>
          <w:sz w:val="21"/>
          <w:szCs w:val="21"/>
          <w:lang w:eastAsia="en-US"/>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4394"/>
        <w:gridCol w:w="5387"/>
        <w:gridCol w:w="1276"/>
      </w:tblGrid>
      <w:tr w:rsidR="00535676" w:rsidRPr="00657FB2" w14:paraId="17C0CE3F" w14:textId="77777777" w:rsidTr="00535676">
        <w:trPr>
          <w:trHeight w:val="716"/>
        </w:trPr>
        <w:tc>
          <w:tcPr>
            <w:tcW w:w="3544" w:type="dxa"/>
            <w:shd w:val="clear" w:color="auto" w:fill="4F81BD" w:themeFill="accent1"/>
            <w:vAlign w:val="center"/>
          </w:tcPr>
          <w:p w14:paraId="1EB18CAC" w14:textId="77777777" w:rsidR="00F06669" w:rsidRPr="00657FB2" w:rsidRDefault="00F06669" w:rsidP="00F06669">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Domain</w:t>
            </w:r>
          </w:p>
          <w:p w14:paraId="1C6E6313" w14:textId="77777777" w:rsidR="00F06669" w:rsidRPr="00657FB2" w:rsidRDefault="00F06669" w:rsidP="00F06669">
            <w:pPr>
              <w:spacing w:after="160" w:line="276" w:lineRule="auto"/>
              <w:rPr>
                <w:rFonts w:eastAsia="Calibri" w:cs="Arial"/>
                <w:b/>
                <w:bCs/>
                <w:i/>
                <w:iCs/>
                <w:color w:val="FFFFFF"/>
                <w:sz w:val="21"/>
                <w:szCs w:val="21"/>
                <w:lang w:eastAsia="en-US"/>
              </w:rPr>
            </w:pPr>
            <w:r w:rsidRPr="00657FB2">
              <w:rPr>
                <w:rFonts w:eastAsia="Calibri"/>
                <w:i/>
                <w:iCs/>
                <w:color w:val="FFFFFF"/>
                <w:sz w:val="21"/>
                <w:szCs w:val="21"/>
                <w:lang w:eastAsia="en-US"/>
              </w:rPr>
              <w:t>MGPA priority domain</w:t>
            </w:r>
          </w:p>
        </w:tc>
        <w:tc>
          <w:tcPr>
            <w:tcW w:w="4394" w:type="dxa"/>
            <w:shd w:val="clear" w:color="auto" w:fill="4F81BD" w:themeFill="accent1"/>
            <w:vAlign w:val="center"/>
          </w:tcPr>
          <w:p w14:paraId="51DB9968" w14:textId="77777777" w:rsidR="00F06669" w:rsidRPr="00657FB2" w:rsidRDefault="00F06669" w:rsidP="00F06669">
            <w:pPr>
              <w:spacing w:after="160" w:line="276" w:lineRule="auto"/>
              <w:rPr>
                <w:rFonts w:eastAsia="Calibri" w:cs="Arial"/>
                <w:i/>
                <w:iCs/>
                <w:color w:val="FFFFFF"/>
                <w:sz w:val="21"/>
                <w:szCs w:val="21"/>
                <w:lang w:eastAsia="en-US"/>
              </w:rPr>
            </w:pPr>
            <w:r w:rsidRPr="00657FB2">
              <w:rPr>
                <w:rFonts w:eastAsia="Calibri" w:cs="Arial"/>
                <w:b/>
                <w:bCs/>
                <w:color w:val="FFFFFF"/>
                <w:sz w:val="21"/>
                <w:szCs w:val="21"/>
                <w:lang w:eastAsia="en-US"/>
              </w:rPr>
              <w:t xml:space="preserve">Assessment criteria (as per Part B Guidance: Non-clinical) </w:t>
            </w:r>
            <w:r w:rsidRPr="00657FB2">
              <w:rPr>
                <w:rFonts w:eastAsia="Calibri" w:cs="Arial"/>
                <w:i/>
                <w:iCs/>
                <w:color w:val="FFFFFF"/>
                <w:sz w:val="21"/>
                <w:szCs w:val="21"/>
                <w:lang w:eastAsia="en-US"/>
              </w:rPr>
              <w:t>All PCN practices to have following components in place and these continue to remain in place</w:t>
            </w:r>
          </w:p>
        </w:tc>
        <w:tc>
          <w:tcPr>
            <w:tcW w:w="5387" w:type="dxa"/>
            <w:shd w:val="clear" w:color="auto" w:fill="4F81BD" w:themeFill="accent1"/>
            <w:vAlign w:val="center"/>
          </w:tcPr>
          <w:p w14:paraId="70990BE3" w14:textId="77777777" w:rsidR="00F06669" w:rsidRPr="00657FB2" w:rsidRDefault="00F06669" w:rsidP="00F06669">
            <w:pPr>
              <w:spacing w:after="160" w:line="276" w:lineRule="auto"/>
              <w:rPr>
                <w:rFonts w:eastAsia="Calibri" w:cs="Arial"/>
                <w:b/>
                <w:bCs/>
                <w:color w:val="FFFFFF"/>
                <w:sz w:val="21"/>
                <w:szCs w:val="21"/>
                <w:lang w:eastAsia="en-US"/>
              </w:rPr>
            </w:pPr>
            <w:r w:rsidRPr="00657FB2">
              <w:rPr>
                <w:rFonts w:eastAsia="Calibri" w:cs="Arial"/>
                <w:b/>
                <w:bCs/>
                <w:color w:val="FFFFFF"/>
                <w:sz w:val="21"/>
                <w:szCs w:val="21"/>
                <w:lang w:eastAsia="en-US"/>
              </w:rPr>
              <w:t>Expectation / Clarification</w:t>
            </w:r>
          </w:p>
        </w:tc>
        <w:tc>
          <w:tcPr>
            <w:tcW w:w="1276" w:type="dxa"/>
            <w:shd w:val="clear" w:color="auto" w:fill="4F81BD" w:themeFill="accent1"/>
          </w:tcPr>
          <w:p w14:paraId="3A69ECE4" w14:textId="77777777" w:rsidR="00F06669" w:rsidRDefault="00F06669" w:rsidP="00F06669">
            <w:pPr>
              <w:spacing w:after="160" w:line="276" w:lineRule="auto"/>
              <w:jc w:val="center"/>
              <w:rPr>
                <w:rFonts w:eastAsia="Calibri" w:cs="Arial"/>
                <w:b/>
                <w:bCs/>
                <w:color w:val="FFFFFF"/>
                <w:sz w:val="21"/>
                <w:szCs w:val="21"/>
                <w:lang w:eastAsia="en-US"/>
              </w:rPr>
            </w:pPr>
            <w:r>
              <w:rPr>
                <w:rFonts w:eastAsia="Calibri" w:cs="Arial"/>
                <w:b/>
                <w:bCs/>
                <w:color w:val="FFFFFF"/>
                <w:sz w:val="21"/>
                <w:szCs w:val="21"/>
                <w:lang w:eastAsia="en-US"/>
              </w:rPr>
              <w:t>All actions complete for all PCN Practices</w:t>
            </w:r>
          </w:p>
          <w:p w14:paraId="0CB1B030" w14:textId="77777777" w:rsidR="00F06669" w:rsidRPr="00657FB2" w:rsidRDefault="00F06669" w:rsidP="00F06669">
            <w:pPr>
              <w:jc w:val="center"/>
            </w:pPr>
            <w:r>
              <w:rPr>
                <w:rFonts w:eastAsia="Calibri" w:cs="Arial"/>
                <w:b/>
                <w:bCs/>
                <w:color w:val="FFFFFF"/>
                <w:sz w:val="21"/>
                <w:szCs w:val="21"/>
                <w:lang w:eastAsia="en-US"/>
              </w:rPr>
              <w:t>Y/N</w:t>
            </w:r>
          </w:p>
        </w:tc>
      </w:tr>
      <w:tr w:rsidR="00F06669" w:rsidRPr="00657FB2" w14:paraId="07830F27" w14:textId="77777777" w:rsidTr="00535676">
        <w:trPr>
          <w:trHeight w:val="2038"/>
        </w:trPr>
        <w:tc>
          <w:tcPr>
            <w:tcW w:w="3544" w:type="dxa"/>
          </w:tcPr>
          <w:p w14:paraId="5AB51230" w14:textId="77777777" w:rsidR="00F06669" w:rsidRDefault="00F06669" w:rsidP="00F06669">
            <w:pPr>
              <w:spacing w:after="160" w:line="276" w:lineRule="auto"/>
              <w:rPr>
                <w:rFonts w:eastAsia="Calibri" w:cs="Arial"/>
                <w:b/>
                <w:bCs/>
                <w:color w:val="231F20"/>
                <w:sz w:val="21"/>
                <w:szCs w:val="21"/>
                <w:lang w:eastAsia="en-US"/>
              </w:rPr>
            </w:pPr>
            <w:r w:rsidRPr="00657FB2">
              <w:rPr>
                <w:rFonts w:eastAsia="Calibri" w:cs="Arial"/>
                <w:b/>
                <w:bCs/>
                <w:color w:val="231F20"/>
                <w:sz w:val="21"/>
                <w:szCs w:val="21"/>
                <w:lang w:eastAsia="en-US"/>
              </w:rPr>
              <w:t xml:space="preserve">3) Faster </w:t>
            </w:r>
            <w:bookmarkStart w:id="0" w:name="_Hlk167461061"/>
            <w:r w:rsidRPr="00657FB2">
              <w:rPr>
                <w:rFonts w:eastAsia="Calibri" w:cs="Arial"/>
                <w:b/>
                <w:bCs/>
                <w:color w:val="231F20"/>
                <w:sz w:val="21"/>
                <w:szCs w:val="21"/>
                <w:lang w:eastAsia="en-US"/>
              </w:rPr>
              <w:t>care navigation, assessment, and response</w:t>
            </w:r>
            <w:bookmarkEnd w:id="0"/>
            <w:r w:rsidR="00535676">
              <w:rPr>
                <w:rFonts w:eastAsia="Calibri" w:cs="Arial"/>
                <w:b/>
                <w:bCs/>
                <w:color w:val="231F20"/>
                <w:sz w:val="21"/>
                <w:szCs w:val="21"/>
                <w:lang w:eastAsia="en-US"/>
              </w:rPr>
              <w:t>.</w:t>
            </w:r>
          </w:p>
          <w:p w14:paraId="6F87AA54" w14:textId="77777777" w:rsidR="00535676" w:rsidRDefault="00535676" w:rsidP="00535676">
            <w:pPr>
              <w:spacing w:after="160"/>
              <w:rPr>
                <w:rFonts w:eastAsia="Calibri" w:cs="Arial"/>
                <w:b/>
                <w:bCs/>
                <w:color w:val="231F20"/>
                <w:sz w:val="21"/>
                <w:szCs w:val="21"/>
                <w:lang w:eastAsia="en-US"/>
              </w:rPr>
            </w:pPr>
            <w:r>
              <w:rPr>
                <w:rFonts w:eastAsia="Calibri" w:cs="Arial"/>
                <w:b/>
                <w:bCs/>
                <w:color w:val="231F20"/>
                <w:sz w:val="21"/>
                <w:szCs w:val="21"/>
                <w:lang w:eastAsia="en-US"/>
              </w:rPr>
              <w:t>Relevant Guidance:</w:t>
            </w:r>
          </w:p>
          <w:p w14:paraId="429E5220" w14:textId="77777777" w:rsidR="001E7A23" w:rsidRDefault="00194D35" w:rsidP="00535676">
            <w:pPr>
              <w:spacing w:after="160"/>
              <w:rPr>
                <w:rFonts w:eastAsia="Calibri" w:cs="Arial"/>
                <w:b/>
                <w:bCs/>
                <w:color w:val="231F20"/>
                <w:sz w:val="21"/>
                <w:szCs w:val="21"/>
                <w:lang w:eastAsia="en-US"/>
              </w:rPr>
            </w:pPr>
            <w:hyperlink r:id="rId22" w:anchor=":~:text=Good%20communication%20between%20the%20GP,support%20to%20first%20contact%20staff" w:history="1">
              <w:r w:rsidR="001E7A23">
                <w:rPr>
                  <w:rStyle w:val="Hyperlink"/>
                  <w:rFonts w:eastAsia="Calibri" w:cs="Arial"/>
                  <w:b/>
                  <w:bCs/>
                  <w:sz w:val="21"/>
                  <w:szCs w:val="21"/>
                  <w:lang w:eastAsia="en-US"/>
                </w:rPr>
                <w:t>how-to-improve-care-navigation-in-general-practice</w:t>
              </w:r>
            </w:hyperlink>
            <w:r w:rsidR="001E7A23" w:rsidRPr="001E7A23">
              <w:rPr>
                <w:rFonts w:eastAsia="Calibri" w:cs="Arial"/>
                <w:b/>
                <w:bCs/>
                <w:color w:val="231F20"/>
                <w:sz w:val="21"/>
                <w:szCs w:val="21"/>
                <w:lang w:eastAsia="en-US"/>
              </w:rPr>
              <w:t>.</w:t>
            </w:r>
            <w:r w:rsidR="001E7A23">
              <w:rPr>
                <w:rFonts w:eastAsia="Calibri" w:cs="Arial"/>
                <w:b/>
                <w:bCs/>
                <w:color w:val="231F20"/>
                <w:sz w:val="21"/>
                <w:szCs w:val="21"/>
                <w:lang w:eastAsia="en-US"/>
              </w:rPr>
              <w:t xml:space="preserve"> </w:t>
            </w:r>
          </w:p>
          <w:p w14:paraId="4EC167F8" w14:textId="77777777" w:rsidR="00B561F2" w:rsidRDefault="00194D35" w:rsidP="00F06669">
            <w:pPr>
              <w:spacing w:after="160" w:line="276" w:lineRule="auto"/>
              <w:rPr>
                <w:rFonts w:eastAsia="Calibri" w:cs="Arial"/>
                <w:b/>
                <w:bCs/>
                <w:color w:val="231F20"/>
                <w:sz w:val="21"/>
                <w:szCs w:val="21"/>
                <w:lang w:eastAsia="en-US"/>
              </w:rPr>
            </w:pPr>
            <w:hyperlink r:id="rId23" w:history="1">
              <w:r w:rsidR="00B561F2">
                <w:rPr>
                  <w:rStyle w:val="Hyperlink"/>
                  <w:rFonts w:eastAsia="Calibri" w:cs="Arial"/>
                  <w:b/>
                  <w:bCs/>
                  <w:sz w:val="21"/>
                  <w:szCs w:val="21"/>
                  <w:lang w:eastAsia="en-US"/>
                </w:rPr>
                <w:t>how-to-improve-care-related-processes-in-general-practice</w:t>
              </w:r>
            </w:hyperlink>
          </w:p>
          <w:p w14:paraId="6CBE86D5" w14:textId="77777777" w:rsidR="00B561F2" w:rsidRPr="00657FB2" w:rsidRDefault="00194D35" w:rsidP="00F06669">
            <w:pPr>
              <w:spacing w:after="160" w:line="276" w:lineRule="auto"/>
              <w:rPr>
                <w:rFonts w:eastAsia="Calibri" w:cs="Arial"/>
                <w:b/>
                <w:bCs/>
                <w:color w:val="231F20"/>
                <w:sz w:val="21"/>
                <w:szCs w:val="21"/>
                <w:lang w:eastAsia="en-US"/>
              </w:rPr>
            </w:pPr>
            <w:hyperlink r:id="rId24" w:history="1">
              <w:r w:rsidR="00B561F2">
                <w:rPr>
                  <w:rStyle w:val="Hyperlink"/>
                  <w:rFonts w:eastAsia="Calibri" w:cs="Arial"/>
                  <w:b/>
                  <w:bCs/>
                  <w:sz w:val="21"/>
                  <w:szCs w:val="21"/>
                  <w:lang w:eastAsia="en-US"/>
                </w:rPr>
                <w:t>creating-a-highly-usable-and-accessible-</w:t>
              </w:r>
              <w:proofErr w:type="spellStart"/>
              <w:r w:rsidR="00B561F2">
                <w:rPr>
                  <w:rStyle w:val="Hyperlink"/>
                  <w:rFonts w:eastAsia="Calibri" w:cs="Arial"/>
                  <w:b/>
                  <w:bCs/>
                  <w:sz w:val="21"/>
                  <w:szCs w:val="21"/>
                  <w:lang w:eastAsia="en-US"/>
                </w:rPr>
                <w:t>gp</w:t>
              </w:r>
              <w:proofErr w:type="spellEnd"/>
              <w:r w:rsidR="00B561F2">
                <w:rPr>
                  <w:rStyle w:val="Hyperlink"/>
                  <w:rFonts w:eastAsia="Calibri" w:cs="Arial"/>
                  <w:b/>
                  <w:bCs/>
                  <w:sz w:val="21"/>
                  <w:szCs w:val="21"/>
                  <w:lang w:eastAsia="en-US"/>
                </w:rPr>
                <w:t>-website-for-patients</w:t>
              </w:r>
            </w:hyperlink>
            <w:r w:rsidR="00B561F2">
              <w:rPr>
                <w:rFonts w:eastAsia="Calibri" w:cs="Arial"/>
                <w:b/>
                <w:bCs/>
                <w:color w:val="231F20"/>
                <w:sz w:val="21"/>
                <w:szCs w:val="21"/>
                <w:lang w:eastAsia="en-US"/>
              </w:rPr>
              <w:t xml:space="preserve">  </w:t>
            </w:r>
          </w:p>
        </w:tc>
        <w:tc>
          <w:tcPr>
            <w:tcW w:w="4394" w:type="dxa"/>
          </w:tcPr>
          <w:p w14:paraId="64478F3D" w14:textId="77777777" w:rsidR="00F06669" w:rsidRPr="00657FB2" w:rsidRDefault="00F06669" w:rsidP="00F06669">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Consistent approach to care navigation and triage so there is parity between online, face to face and telephone access, including collection of structured information for walk-in and telephone requests.</w:t>
            </w:r>
          </w:p>
          <w:p w14:paraId="284F0CB9" w14:textId="77777777" w:rsidR="00F06669" w:rsidRPr="00657FB2" w:rsidRDefault="00F06669" w:rsidP="00F06669">
            <w:pPr>
              <w:spacing w:after="160" w:line="276" w:lineRule="auto"/>
              <w:rPr>
                <w:rFonts w:eastAsia="Calibri" w:cs="Arial"/>
                <w:color w:val="231F20"/>
                <w:sz w:val="21"/>
                <w:szCs w:val="21"/>
                <w:lang w:eastAsia="en-US"/>
              </w:rPr>
            </w:pPr>
            <w:r w:rsidRPr="00657FB2">
              <w:rPr>
                <w:rFonts w:eastAsia="Calibri" w:cs="Arial"/>
                <w:color w:val="231F20"/>
                <w:sz w:val="21"/>
                <w:szCs w:val="21"/>
                <w:lang w:eastAsia="en-US"/>
              </w:rPr>
              <w:t>Approach includes asking patients their preference to wait for a preferred clinician if appropriate, for continuity.</w:t>
            </w:r>
          </w:p>
        </w:tc>
        <w:tc>
          <w:tcPr>
            <w:tcW w:w="5387" w:type="dxa"/>
          </w:tcPr>
          <w:p w14:paraId="7BA7EED1" w14:textId="77777777" w:rsidR="00F06669" w:rsidRPr="00657FB2" w:rsidRDefault="00F06669" w:rsidP="00F06669">
            <w:pPr>
              <w:numPr>
                <w:ilvl w:val="0"/>
                <w:numId w:val="43"/>
              </w:numPr>
              <w:spacing w:after="160" w:line="276" w:lineRule="auto"/>
              <w:ind w:left="291" w:hanging="283"/>
              <w:contextualSpacing/>
              <w:rPr>
                <w:rFonts w:eastAsia="Calibri" w:cs="Arial"/>
                <w:color w:val="231F20"/>
                <w:sz w:val="21"/>
                <w:szCs w:val="21"/>
                <w:lang w:eastAsia="en-US"/>
              </w:rPr>
            </w:pPr>
            <w:r w:rsidRPr="00657FB2">
              <w:rPr>
                <w:rFonts w:eastAsia="Calibri" w:cs="Arial"/>
                <w:color w:val="231F20"/>
                <w:sz w:val="21"/>
                <w:szCs w:val="21"/>
                <w:lang w:eastAsia="en-US"/>
              </w:rPr>
              <w:t xml:space="preserve">It is expected that all practices within a PCN make online, face to face and telephone access available to all patients </w:t>
            </w:r>
          </w:p>
          <w:p w14:paraId="7481D16B" w14:textId="77777777" w:rsidR="00F06669" w:rsidRPr="00657FB2" w:rsidRDefault="00F06669" w:rsidP="00F06669">
            <w:pPr>
              <w:numPr>
                <w:ilvl w:val="0"/>
                <w:numId w:val="43"/>
              </w:numPr>
              <w:spacing w:after="160" w:line="276" w:lineRule="auto"/>
              <w:ind w:left="291" w:hanging="283"/>
              <w:contextualSpacing/>
              <w:rPr>
                <w:rFonts w:eastAsia="Calibri" w:cs="Arial"/>
                <w:color w:val="231F20"/>
                <w:sz w:val="21"/>
                <w:szCs w:val="21"/>
                <w:lang w:eastAsia="en-US"/>
              </w:rPr>
            </w:pPr>
            <w:r w:rsidRPr="00657FB2">
              <w:rPr>
                <w:rFonts w:eastAsia="Calibri" w:cs="Arial"/>
                <w:color w:val="231F20"/>
                <w:sz w:val="21"/>
                <w:szCs w:val="21"/>
                <w:lang w:eastAsia="en-US"/>
              </w:rPr>
              <w:t>It is expected that all practices within a PCN collect structured information for walk-in and telephone requests</w:t>
            </w:r>
          </w:p>
          <w:p w14:paraId="334BDBB3" w14:textId="77777777" w:rsidR="00F06669" w:rsidRPr="00657FB2" w:rsidRDefault="00F06669" w:rsidP="00F06669">
            <w:pPr>
              <w:numPr>
                <w:ilvl w:val="0"/>
                <w:numId w:val="43"/>
              </w:numPr>
              <w:spacing w:after="160" w:line="276" w:lineRule="auto"/>
              <w:ind w:left="291" w:hanging="283"/>
              <w:contextualSpacing/>
              <w:rPr>
                <w:rFonts w:eastAsia="Calibri" w:cs="Arial"/>
                <w:color w:val="231F20"/>
                <w:sz w:val="21"/>
                <w:szCs w:val="21"/>
                <w:lang w:eastAsia="en-US"/>
              </w:rPr>
            </w:pPr>
            <w:r w:rsidRPr="00657FB2">
              <w:rPr>
                <w:rFonts w:eastAsia="Calibri" w:cs="Arial"/>
                <w:color w:val="231F20"/>
                <w:sz w:val="21"/>
                <w:szCs w:val="21"/>
                <w:lang w:eastAsia="en-US"/>
              </w:rPr>
              <w:t>It is expected that all practices within a PCN adopt a consistent approach to identify, and where applicable, support patients who may wish to access to a preferred clinician (if / when appropriate)</w:t>
            </w:r>
          </w:p>
        </w:tc>
        <w:tc>
          <w:tcPr>
            <w:tcW w:w="1276" w:type="dxa"/>
          </w:tcPr>
          <w:p w14:paraId="0038362D" w14:textId="77777777" w:rsidR="00F06669" w:rsidRPr="00657FB2" w:rsidRDefault="00F06669" w:rsidP="00F06669"/>
        </w:tc>
      </w:tr>
    </w:tbl>
    <w:p w14:paraId="49E9047D" w14:textId="77777777" w:rsidR="00657FB2" w:rsidRPr="00657FB2" w:rsidRDefault="00657FB2" w:rsidP="00657FB2">
      <w:pPr>
        <w:rPr>
          <w:rFonts w:eastAsia="Calibri"/>
          <w:color w:val="231F20"/>
          <w:sz w:val="21"/>
          <w:szCs w:val="21"/>
          <w:lang w:eastAsia="en-US"/>
        </w:rPr>
      </w:pPr>
    </w:p>
    <w:p w14:paraId="0B5E15E8" w14:textId="77777777" w:rsidR="00657FB2" w:rsidRPr="00657FB2" w:rsidRDefault="00657FB2" w:rsidP="00657FB2">
      <w:pPr>
        <w:rPr>
          <w:rFonts w:eastAsia="Calibri"/>
          <w:color w:val="231F20"/>
          <w:sz w:val="21"/>
          <w:szCs w:val="21"/>
          <w:lang w:eastAsia="en-US"/>
        </w:rPr>
      </w:pPr>
      <w:r w:rsidRPr="00657FB2">
        <w:rPr>
          <w:rFonts w:eastAsia="Calibri"/>
          <w:color w:val="231F20"/>
          <w:sz w:val="21"/>
          <w:szCs w:val="21"/>
          <w:lang w:eastAsia="en-US"/>
        </w:rPr>
        <w:t>Please describe each individual practice approach to care navigation, assessment, and response, including how they support patients who may wish to access to a preferred clinician (if / when appropriate):</w:t>
      </w:r>
    </w:p>
    <w:tbl>
      <w:tblPr>
        <w:tblStyle w:val="TableGrid"/>
        <w:tblW w:w="14596" w:type="dxa"/>
        <w:tblLook w:val="04A0" w:firstRow="1" w:lastRow="0" w:firstColumn="1" w:lastColumn="0" w:noHBand="0" w:noVBand="1"/>
      </w:tblPr>
      <w:tblGrid>
        <w:gridCol w:w="14596"/>
      </w:tblGrid>
      <w:tr w:rsidR="003906D1" w14:paraId="74C56568" w14:textId="77777777" w:rsidTr="003906D1">
        <w:tc>
          <w:tcPr>
            <w:tcW w:w="14596" w:type="dxa"/>
          </w:tcPr>
          <w:p w14:paraId="337B1C0E" w14:textId="77777777" w:rsidR="003906D1" w:rsidRDefault="003906D1" w:rsidP="00657FB2">
            <w:pPr>
              <w:rPr>
                <w:rFonts w:eastAsia="Calibri"/>
                <w:color w:val="231F20"/>
                <w:sz w:val="21"/>
                <w:szCs w:val="21"/>
                <w:lang w:eastAsia="en-US"/>
              </w:rPr>
            </w:pPr>
          </w:p>
          <w:p w14:paraId="14F01676" w14:textId="77777777" w:rsidR="003906D1" w:rsidRDefault="003906D1" w:rsidP="00657FB2">
            <w:pPr>
              <w:rPr>
                <w:rFonts w:eastAsia="Calibri"/>
                <w:color w:val="231F20"/>
                <w:sz w:val="21"/>
                <w:szCs w:val="21"/>
                <w:lang w:eastAsia="en-US"/>
              </w:rPr>
            </w:pPr>
          </w:p>
          <w:p w14:paraId="599A6A62" w14:textId="77777777" w:rsidR="003906D1" w:rsidRDefault="003906D1" w:rsidP="00657FB2">
            <w:pPr>
              <w:rPr>
                <w:rFonts w:eastAsia="Calibri"/>
                <w:color w:val="231F20"/>
                <w:sz w:val="21"/>
                <w:szCs w:val="21"/>
                <w:lang w:eastAsia="en-US"/>
              </w:rPr>
            </w:pPr>
          </w:p>
          <w:p w14:paraId="13F01050" w14:textId="77777777" w:rsidR="003906D1" w:rsidRDefault="003906D1" w:rsidP="00657FB2">
            <w:pPr>
              <w:rPr>
                <w:rFonts w:eastAsia="Calibri"/>
                <w:color w:val="231F20"/>
                <w:sz w:val="21"/>
                <w:szCs w:val="21"/>
                <w:lang w:eastAsia="en-US"/>
              </w:rPr>
            </w:pPr>
          </w:p>
          <w:p w14:paraId="7BAE9750" w14:textId="77777777" w:rsidR="003906D1" w:rsidRDefault="003906D1" w:rsidP="00657FB2">
            <w:pPr>
              <w:rPr>
                <w:rFonts w:eastAsia="Calibri"/>
                <w:color w:val="231F20"/>
                <w:sz w:val="21"/>
                <w:szCs w:val="21"/>
                <w:lang w:eastAsia="en-US"/>
              </w:rPr>
            </w:pPr>
          </w:p>
          <w:p w14:paraId="73EFD87D" w14:textId="77777777" w:rsidR="003906D1" w:rsidRDefault="003906D1" w:rsidP="00657FB2">
            <w:pPr>
              <w:rPr>
                <w:rFonts w:eastAsia="Calibri"/>
                <w:color w:val="231F20"/>
                <w:sz w:val="21"/>
                <w:szCs w:val="21"/>
                <w:lang w:eastAsia="en-US"/>
              </w:rPr>
            </w:pPr>
          </w:p>
          <w:p w14:paraId="535119FC" w14:textId="77777777" w:rsidR="003906D1" w:rsidRDefault="003906D1" w:rsidP="00657FB2">
            <w:pPr>
              <w:rPr>
                <w:rFonts w:eastAsia="Calibri"/>
                <w:color w:val="231F20"/>
                <w:sz w:val="21"/>
                <w:szCs w:val="21"/>
                <w:lang w:eastAsia="en-US"/>
              </w:rPr>
            </w:pPr>
          </w:p>
          <w:p w14:paraId="695ECC02" w14:textId="77777777" w:rsidR="003906D1" w:rsidRDefault="003906D1" w:rsidP="00657FB2">
            <w:pPr>
              <w:rPr>
                <w:rFonts w:eastAsia="Calibri"/>
                <w:color w:val="231F20"/>
                <w:sz w:val="21"/>
                <w:szCs w:val="21"/>
                <w:lang w:eastAsia="en-US"/>
              </w:rPr>
            </w:pPr>
          </w:p>
        </w:tc>
      </w:tr>
    </w:tbl>
    <w:p w14:paraId="53D02A36" w14:textId="77777777" w:rsidR="003906D1" w:rsidRDefault="003906D1" w:rsidP="00657FB2">
      <w:pPr>
        <w:rPr>
          <w:rFonts w:eastAsia="Calibri"/>
          <w:color w:val="231F20"/>
          <w:sz w:val="21"/>
          <w:szCs w:val="21"/>
          <w:lang w:eastAsia="en-US"/>
        </w:rPr>
      </w:pPr>
    </w:p>
    <w:p w14:paraId="73F034F4" w14:textId="77777777" w:rsidR="003906D1" w:rsidRDefault="00657FB2" w:rsidP="003906D1">
      <w:pPr>
        <w:rPr>
          <w:rFonts w:eastAsia="Calibri"/>
          <w:color w:val="231F20"/>
          <w:sz w:val="21"/>
          <w:szCs w:val="21"/>
          <w:lang w:eastAsia="en-US"/>
        </w:rPr>
      </w:pPr>
      <w:r w:rsidRPr="00657FB2">
        <w:rPr>
          <w:rFonts w:eastAsia="Calibri"/>
          <w:color w:val="231F20"/>
          <w:sz w:val="21"/>
          <w:szCs w:val="21"/>
          <w:lang w:eastAsia="en-US"/>
        </w:rPr>
        <w:t>PCN to use the space below to outline any local evidence to support ICB assessment (such as patient facing materials), intended further collaborative working, and how the PCN is working together to make sure they are communicating the changes and improvements they’ve been making in this domain to their patients against this domain</w:t>
      </w:r>
    </w:p>
    <w:tbl>
      <w:tblPr>
        <w:tblStyle w:val="TableGrid"/>
        <w:tblW w:w="14596" w:type="dxa"/>
        <w:tblLook w:val="04A0" w:firstRow="1" w:lastRow="0" w:firstColumn="1" w:lastColumn="0" w:noHBand="0" w:noVBand="1"/>
      </w:tblPr>
      <w:tblGrid>
        <w:gridCol w:w="14596"/>
      </w:tblGrid>
      <w:tr w:rsidR="003906D1" w14:paraId="2EC7B93A" w14:textId="77777777" w:rsidTr="00F06669">
        <w:tc>
          <w:tcPr>
            <w:tcW w:w="14596" w:type="dxa"/>
          </w:tcPr>
          <w:p w14:paraId="612C5E96" w14:textId="77777777" w:rsidR="003906D1" w:rsidRDefault="003906D1" w:rsidP="003906D1">
            <w:pPr>
              <w:rPr>
                <w:rFonts w:eastAsia="Calibri"/>
                <w:color w:val="231F20"/>
                <w:sz w:val="21"/>
                <w:szCs w:val="21"/>
                <w:lang w:eastAsia="en-US"/>
              </w:rPr>
            </w:pPr>
          </w:p>
          <w:p w14:paraId="7E359A8C" w14:textId="77777777" w:rsidR="003906D1" w:rsidRDefault="003906D1" w:rsidP="003906D1">
            <w:pPr>
              <w:rPr>
                <w:rFonts w:eastAsia="Calibri"/>
                <w:color w:val="231F20"/>
                <w:sz w:val="21"/>
                <w:szCs w:val="21"/>
                <w:lang w:eastAsia="en-US"/>
              </w:rPr>
            </w:pPr>
          </w:p>
          <w:p w14:paraId="6976E8F0" w14:textId="77777777" w:rsidR="003906D1" w:rsidRDefault="003906D1" w:rsidP="003906D1">
            <w:pPr>
              <w:rPr>
                <w:rFonts w:eastAsia="Calibri"/>
                <w:color w:val="231F20"/>
                <w:sz w:val="21"/>
                <w:szCs w:val="21"/>
                <w:lang w:eastAsia="en-US"/>
              </w:rPr>
            </w:pPr>
          </w:p>
          <w:p w14:paraId="11D3379A" w14:textId="77777777" w:rsidR="003906D1" w:rsidRDefault="003906D1" w:rsidP="003906D1">
            <w:pPr>
              <w:rPr>
                <w:rFonts w:eastAsia="Calibri"/>
                <w:color w:val="231F20"/>
                <w:sz w:val="21"/>
                <w:szCs w:val="21"/>
                <w:lang w:eastAsia="en-US"/>
              </w:rPr>
            </w:pPr>
          </w:p>
          <w:p w14:paraId="6F08BE73" w14:textId="77777777" w:rsidR="003906D1" w:rsidRDefault="003906D1" w:rsidP="003906D1">
            <w:pPr>
              <w:rPr>
                <w:rFonts w:eastAsia="Calibri"/>
                <w:color w:val="231F20"/>
                <w:sz w:val="21"/>
                <w:szCs w:val="21"/>
                <w:lang w:eastAsia="en-US"/>
              </w:rPr>
            </w:pPr>
          </w:p>
          <w:p w14:paraId="3D7F21C3" w14:textId="77777777" w:rsidR="003906D1" w:rsidRDefault="003906D1" w:rsidP="003906D1">
            <w:pPr>
              <w:rPr>
                <w:rFonts w:eastAsia="Calibri"/>
                <w:color w:val="231F20"/>
                <w:sz w:val="21"/>
                <w:szCs w:val="21"/>
                <w:lang w:eastAsia="en-US"/>
              </w:rPr>
            </w:pPr>
          </w:p>
          <w:p w14:paraId="513F038A" w14:textId="77777777" w:rsidR="003906D1" w:rsidRDefault="003906D1" w:rsidP="003906D1">
            <w:pPr>
              <w:rPr>
                <w:rFonts w:eastAsia="Calibri"/>
                <w:color w:val="231F20"/>
                <w:sz w:val="21"/>
                <w:szCs w:val="21"/>
                <w:lang w:eastAsia="en-US"/>
              </w:rPr>
            </w:pPr>
          </w:p>
          <w:p w14:paraId="7977ACD5" w14:textId="77777777" w:rsidR="003906D1" w:rsidRDefault="003906D1" w:rsidP="003906D1">
            <w:pPr>
              <w:rPr>
                <w:rFonts w:eastAsia="Calibri"/>
                <w:color w:val="231F20"/>
                <w:sz w:val="21"/>
                <w:szCs w:val="21"/>
                <w:lang w:eastAsia="en-US"/>
              </w:rPr>
            </w:pPr>
          </w:p>
          <w:p w14:paraId="7F2E5033" w14:textId="77777777" w:rsidR="003906D1" w:rsidRDefault="003906D1" w:rsidP="003906D1">
            <w:pPr>
              <w:rPr>
                <w:rFonts w:eastAsia="Calibri"/>
                <w:color w:val="231F20"/>
                <w:sz w:val="21"/>
                <w:szCs w:val="21"/>
                <w:lang w:eastAsia="en-US"/>
              </w:rPr>
            </w:pPr>
          </w:p>
        </w:tc>
      </w:tr>
    </w:tbl>
    <w:p w14:paraId="3F19B3EC" w14:textId="77777777" w:rsidR="003906D1" w:rsidRDefault="003906D1" w:rsidP="003906D1">
      <w:pPr>
        <w:rPr>
          <w:rFonts w:eastAsia="Calibri"/>
          <w:color w:val="231F20"/>
          <w:sz w:val="21"/>
          <w:szCs w:val="21"/>
          <w:lang w:eastAsia="en-US"/>
        </w:rPr>
      </w:pPr>
    </w:p>
    <w:p w14:paraId="58183402" w14:textId="77777777" w:rsidR="003906D1" w:rsidRPr="003906D1" w:rsidRDefault="003906D1" w:rsidP="003906D1">
      <w:pPr>
        <w:rPr>
          <w:rFonts w:eastAsia="Calibri"/>
          <w:b/>
          <w:color w:val="231F20"/>
          <w:szCs w:val="22"/>
          <w:lang w:eastAsia="en-US"/>
        </w:rPr>
      </w:pPr>
      <w:r w:rsidRPr="003906D1">
        <w:rPr>
          <w:rFonts w:eastAsia="Calibri"/>
          <w:b/>
          <w:color w:val="231F20"/>
          <w:szCs w:val="22"/>
          <w:lang w:eastAsia="en-US"/>
        </w:rPr>
        <w:t>DECLARATION</w:t>
      </w:r>
    </w:p>
    <w:p w14:paraId="3390114F" w14:textId="77777777" w:rsidR="003906D1" w:rsidRPr="003906D1" w:rsidRDefault="003906D1" w:rsidP="003906D1">
      <w:pPr>
        <w:rPr>
          <w:rFonts w:eastAsia="Calibri"/>
          <w:color w:val="231F20"/>
          <w:szCs w:val="22"/>
          <w:lang w:eastAsia="en-US"/>
        </w:rPr>
      </w:pPr>
    </w:p>
    <w:p w14:paraId="38F4E2B6" w14:textId="77777777" w:rsidR="003906D1" w:rsidRPr="003906D1" w:rsidRDefault="003906D1" w:rsidP="003906D1">
      <w:pPr>
        <w:rPr>
          <w:rFonts w:eastAsia="Calibri"/>
          <w:color w:val="231F20"/>
          <w:szCs w:val="22"/>
          <w:lang w:eastAsia="en-US"/>
        </w:rPr>
      </w:pPr>
      <w:r w:rsidRPr="003906D1">
        <w:rPr>
          <w:rFonts w:eastAsia="Calibri"/>
          <w:color w:val="231F20"/>
          <w:szCs w:val="22"/>
          <w:lang w:eastAsia="en-US"/>
        </w:rPr>
        <w:t>I, the PCN Clinical Director confirm that all practices within the PCN:</w:t>
      </w:r>
    </w:p>
    <w:p w14:paraId="25AA1FE2" w14:textId="77777777" w:rsidR="003906D1" w:rsidRPr="003906D1" w:rsidRDefault="003906D1" w:rsidP="003906D1">
      <w:pPr>
        <w:rPr>
          <w:rFonts w:eastAsia="Calibri"/>
          <w:color w:val="231F20"/>
          <w:szCs w:val="22"/>
          <w:lang w:eastAsia="en-US"/>
        </w:rPr>
      </w:pPr>
    </w:p>
    <w:p w14:paraId="0A95EAAF" w14:textId="77777777" w:rsidR="003906D1" w:rsidRPr="003906D1" w:rsidRDefault="003906D1" w:rsidP="003906D1">
      <w:pPr>
        <w:numPr>
          <w:ilvl w:val="0"/>
          <w:numId w:val="40"/>
        </w:numPr>
        <w:contextualSpacing/>
        <w:rPr>
          <w:rFonts w:eastAsia="Calibri"/>
          <w:color w:val="231F20"/>
          <w:szCs w:val="22"/>
          <w:lang w:eastAsia="en-US"/>
        </w:rPr>
      </w:pPr>
      <w:r w:rsidRPr="003906D1">
        <w:rPr>
          <w:rFonts w:eastAsia="Calibri"/>
          <w:color w:val="231F20"/>
          <w:szCs w:val="22"/>
          <w:lang w:eastAsia="en-US"/>
        </w:rPr>
        <w:t>have a consistent approach to care navigation</w:t>
      </w:r>
    </w:p>
    <w:p w14:paraId="3458FD4A" w14:textId="77777777" w:rsidR="003906D1" w:rsidRPr="003906D1" w:rsidRDefault="003906D1" w:rsidP="003906D1">
      <w:pPr>
        <w:numPr>
          <w:ilvl w:val="0"/>
          <w:numId w:val="40"/>
        </w:numPr>
        <w:contextualSpacing/>
        <w:rPr>
          <w:rFonts w:eastAsia="Calibri"/>
          <w:color w:val="231F20"/>
          <w:szCs w:val="22"/>
          <w:lang w:eastAsia="en-US"/>
        </w:rPr>
      </w:pPr>
      <w:r w:rsidRPr="003906D1">
        <w:rPr>
          <w:rFonts w:eastAsia="Calibri"/>
          <w:color w:val="231F20"/>
          <w:szCs w:val="22"/>
          <w:lang w:eastAsia="en-US"/>
        </w:rPr>
        <w:t>make online, face to face and telephone access available to all patients</w:t>
      </w:r>
    </w:p>
    <w:p w14:paraId="54F9BED2" w14:textId="77777777" w:rsidR="003906D1" w:rsidRPr="003906D1" w:rsidRDefault="003906D1" w:rsidP="003906D1">
      <w:pPr>
        <w:numPr>
          <w:ilvl w:val="0"/>
          <w:numId w:val="40"/>
        </w:numPr>
        <w:contextualSpacing/>
        <w:rPr>
          <w:rFonts w:eastAsia="Calibri"/>
          <w:color w:val="231F20"/>
          <w:szCs w:val="22"/>
          <w:lang w:eastAsia="en-US"/>
        </w:rPr>
      </w:pPr>
      <w:r w:rsidRPr="003906D1">
        <w:rPr>
          <w:rFonts w:eastAsia="Calibri"/>
          <w:color w:val="231F20"/>
          <w:szCs w:val="22"/>
          <w:lang w:eastAsia="en-US"/>
        </w:rPr>
        <w:t>collect structured information for walk-in and telephone requests</w:t>
      </w:r>
    </w:p>
    <w:p w14:paraId="0C1A6E4F" w14:textId="77777777" w:rsidR="003906D1" w:rsidRPr="003906D1" w:rsidRDefault="003906D1" w:rsidP="003906D1">
      <w:pPr>
        <w:pStyle w:val="ListParagraph"/>
        <w:numPr>
          <w:ilvl w:val="0"/>
          <w:numId w:val="40"/>
        </w:numPr>
        <w:rPr>
          <w:rFonts w:eastAsia="Calibri"/>
          <w:color w:val="231F20"/>
          <w:szCs w:val="22"/>
          <w:lang w:eastAsia="en-US"/>
        </w:rPr>
      </w:pPr>
      <w:r w:rsidRPr="003906D1">
        <w:rPr>
          <w:rFonts w:eastAsia="Calibri"/>
          <w:color w:val="231F20"/>
          <w:szCs w:val="22"/>
          <w:lang w:eastAsia="en-US"/>
        </w:rPr>
        <w:t>that information provided on this form is accurate to the best of my knowledge</w:t>
      </w:r>
    </w:p>
    <w:p w14:paraId="6D069561" w14:textId="77777777" w:rsidR="003906D1" w:rsidRPr="003906D1" w:rsidRDefault="003906D1" w:rsidP="003906D1">
      <w:pPr>
        <w:rPr>
          <w:rFonts w:eastAsia="Calibri"/>
          <w:color w:val="231F20"/>
          <w:szCs w:val="22"/>
          <w:lang w:eastAsia="en-US"/>
        </w:rPr>
      </w:pPr>
    </w:p>
    <w:p w14:paraId="309D8B6C" w14:textId="77777777" w:rsidR="003906D1" w:rsidRPr="003906D1" w:rsidRDefault="003906D1" w:rsidP="003906D1">
      <w:pPr>
        <w:rPr>
          <w:rFonts w:eastAsia="Calibri"/>
          <w:color w:val="231F20"/>
          <w:szCs w:val="22"/>
          <w:lang w:eastAsia="en-US"/>
        </w:rPr>
      </w:pPr>
    </w:p>
    <w:tbl>
      <w:tblPr>
        <w:tblStyle w:val="TableGrid"/>
        <w:tblW w:w="14596" w:type="dxa"/>
        <w:tblLook w:val="04A0" w:firstRow="1" w:lastRow="0" w:firstColumn="1" w:lastColumn="0" w:noHBand="0" w:noVBand="1"/>
      </w:tblPr>
      <w:tblGrid>
        <w:gridCol w:w="6974"/>
        <w:gridCol w:w="7622"/>
      </w:tblGrid>
      <w:tr w:rsidR="006E6A22" w:rsidRPr="00E10348" w14:paraId="71E76DBB" w14:textId="77777777" w:rsidTr="00F06669">
        <w:tc>
          <w:tcPr>
            <w:tcW w:w="14596" w:type="dxa"/>
            <w:gridSpan w:val="2"/>
          </w:tcPr>
          <w:p w14:paraId="26FA7857"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Name and ODS no.:</w:t>
            </w:r>
          </w:p>
        </w:tc>
      </w:tr>
      <w:tr w:rsidR="006E6A22" w:rsidRPr="00E10348" w14:paraId="3C3721D0" w14:textId="77777777" w:rsidTr="00F06669">
        <w:tc>
          <w:tcPr>
            <w:tcW w:w="6974" w:type="dxa"/>
          </w:tcPr>
          <w:p w14:paraId="56698DC0"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Practices (Name and ODS No.)</w:t>
            </w:r>
          </w:p>
          <w:p w14:paraId="2A6FF178" w14:textId="77777777" w:rsidR="006E6A22" w:rsidRPr="00E10348" w:rsidRDefault="006E6A22" w:rsidP="00D45742">
            <w:pPr>
              <w:rPr>
                <w:rFonts w:eastAsia="Calibri"/>
                <w:b/>
                <w:color w:val="231F20"/>
                <w:szCs w:val="22"/>
                <w:lang w:eastAsia="en-US"/>
              </w:rPr>
            </w:pPr>
            <w:r w:rsidRPr="00E10348">
              <w:rPr>
                <w:rFonts w:eastAsia="Calibri"/>
                <w:b/>
                <w:color w:val="231F20"/>
                <w:szCs w:val="22"/>
                <w:lang w:eastAsia="en-US"/>
              </w:rPr>
              <w:t xml:space="preserve">1. </w:t>
            </w:r>
          </w:p>
          <w:p w14:paraId="238F3F98" w14:textId="77777777" w:rsidR="006E6A22" w:rsidRPr="00E10348" w:rsidRDefault="006E6A22" w:rsidP="00D45742">
            <w:pPr>
              <w:rPr>
                <w:rFonts w:eastAsia="Calibri"/>
                <w:b/>
                <w:color w:val="231F20"/>
                <w:szCs w:val="22"/>
                <w:lang w:eastAsia="en-US"/>
              </w:rPr>
            </w:pPr>
            <w:r w:rsidRPr="00E10348">
              <w:rPr>
                <w:rFonts w:eastAsia="Calibri"/>
                <w:b/>
                <w:color w:val="231F20"/>
                <w:szCs w:val="22"/>
                <w:lang w:eastAsia="en-US"/>
              </w:rPr>
              <w:t xml:space="preserve">2. </w:t>
            </w:r>
          </w:p>
        </w:tc>
        <w:tc>
          <w:tcPr>
            <w:tcW w:w="7622" w:type="dxa"/>
          </w:tcPr>
          <w:p w14:paraId="49876A22"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3.</w:t>
            </w:r>
          </w:p>
          <w:p w14:paraId="6AFF71DE"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 xml:space="preserve">4. </w:t>
            </w:r>
          </w:p>
          <w:p w14:paraId="64C0317B"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5.</w:t>
            </w:r>
          </w:p>
        </w:tc>
      </w:tr>
      <w:tr w:rsidR="006E6A22" w:rsidRPr="00E10348" w14:paraId="1A0E3728" w14:textId="77777777" w:rsidTr="00F06669">
        <w:tc>
          <w:tcPr>
            <w:tcW w:w="14596" w:type="dxa"/>
            <w:gridSpan w:val="2"/>
          </w:tcPr>
          <w:p w14:paraId="2A18F225"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PCN CD Name:</w:t>
            </w:r>
          </w:p>
        </w:tc>
      </w:tr>
      <w:tr w:rsidR="006E6A22" w:rsidRPr="00E10348" w14:paraId="18C026B8" w14:textId="77777777" w:rsidTr="00F06669">
        <w:tc>
          <w:tcPr>
            <w:tcW w:w="14596" w:type="dxa"/>
            <w:gridSpan w:val="2"/>
          </w:tcPr>
          <w:p w14:paraId="2E66B879"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PCD CD Signature:</w:t>
            </w:r>
          </w:p>
          <w:p w14:paraId="35BFC39D" w14:textId="77777777" w:rsidR="006E6A22" w:rsidRPr="00E10348" w:rsidRDefault="006E6A22" w:rsidP="00D45742">
            <w:pPr>
              <w:contextualSpacing/>
              <w:rPr>
                <w:rFonts w:eastAsia="Calibri"/>
                <w:b/>
                <w:color w:val="231F20"/>
                <w:szCs w:val="22"/>
                <w:lang w:eastAsia="en-US"/>
              </w:rPr>
            </w:pPr>
          </w:p>
        </w:tc>
      </w:tr>
      <w:tr w:rsidR="006E6A22" w:rsidRPr="00E10348" w14:paraId="192412CA" w14:textId="77777777" w:rsidTr="00F06669">
        <w:tc>
          <w:tcPr>
            <w:tcW w:w="14596" w:type="dxa"/>
            <w:gridSpan w:val="2"/>
          </w:tcPr>
          <w:p w14:paraId="1E9A1BAA" w14:textId="77777777" w:rsidR="006E6A22" w:rsidRPr="00E10348" w:rsidRDefault="006E6A22" w:rsidP="00D45742">
            <w:pPr>
              <w:contextualSpacing/>
              <w:rPr>
                <w:rFonts w:eastAsia="Calibri"/>
                <w:b/>
                <w:color w:val="231F20"/>
                <w:szCs w:val="22"/>
                <w:lang w:eastAsia="en-US"/>
              </w:rPr>
            </w:pPr>
            <w:r w:rsidRPr="00E10348">
              <w:rPr>
                <w:rFonts w:eastAsia="Calibri"/>
                <w:b/>
                <w:color w:val="231F20"/>
                <w:szCs w:val="22"/>
                <w:lang w:eastAsia="en-US"/>
              </w:rPr>
              <w:t>Date:</w:t>
            </w:r>
          </w:p>
        </w:tc>
      </w:tr>
    </w:tbl>
    <w:p w14:paraId="17F1948B" w14:textId="77777777" w:rsidR="00657FB2" w:rsidRPr="00657FB2" w:rsidRDefault="00657FB2" w:rsidP="006E6A22">
      <w:pPr>
        <w:rPr>
          <w:rFonts w:eastAsiaTheme="minorHAnsi"/>
        </w:rPr>
      </w:pPr>
    </w:p>
    <w:sectPr w:rsidR="00657FB2" w:rsidRPr="00657FB2" w:rsidSect="00C80483">
      <w:pgSz w:w="16838" w:h="11906" w:orient="landscape"/>
      <w:pgMar w:top="709" w:right="1440" w:bottom="519" w:left="1440"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EFAE6" w14:textId="77777777" w:rsidR="00194D35" w:rsidRDefault="00194D35" w:rsidP="00D6622F">
      <w:r>
        <w:separator/>
      </w:r>
    </w:p>
  </w:endnote>
  <w:endnote w:type="continuationSeparator" w:id="0">
    <w:p w14:paraId="403D2DF3" w14:textId="77777777" w:rsidR="00194D35" w:rsidRDefault="00194D35" w:rsidP="00D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534B" w14:textId="77777777" w:rsidR="00C12D73" w:rsidRPr="00461F8C" w:rsidRDefault="00C12D73" w:rsidP="0005166D">
    <w:pPr>
      <w:pStyle w:val="Footer"/>
      <w:jc w:val="center"/>
      <w:rPr>
        <w:b/>
        <w:sz w:val="6"/>
        <w:szCs w:val="8"/>
      </w:rPr>
    </w:pPr>
    <w:r w:rsidRPr="00607C68">
      <w:rPr>
        <w:rFonts w:cs="Arial"/>
        <w:b/>
        <w:iCs/>
        <w:noProof/>
        <w:sz w:val="20"/>
        <w:szCs w:val="22"/>
      </w:rPr>
      <mc:AlternateContent>
        <mc:Choice Requires="wps">
          <w:drawing>
            <wp:anchor distT="0" distB="0" distL="114300" distR="114300" simplePos="0" relativeHeight="251970048" behindDoc="0" locked="0" layoutInCell="1" allowOverlap="1" wp14:anchorId="3459B047" wp14:editId="6FCC5162">
              <wp:simplePos x="0" y="0"/>
              <wp:positionH relativeFrom="column">
                <wp:posOffset>-20320</wp:posOffset>
              </wp:positionH>
              <wp:positionV relativeFrom="paragraph">
                <wp:posOffset>9820275</wp:posOffset>
              </wp:positionV>
              <wp:extent cx="1818005" cy="0"/>
              <wp:effectExtent l="0" t="38100" r="48895" b="38100"/>
              <wp:wrapNone/>
              <wp:docPr id="3"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FD640" id="Straight Connector 7" o:spid="_x0000_s1026" style="position:absolute;flip:y;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73.25pt" to="141.55pt,77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TOOyQEAAOkDAAAOAAAAZHJzL2Uyb0RvYy54bWysU8GO0zAQvSPxD5bvNMlKu5So6QrtUi4I&#13;&#10;Vixwd51xY8n2WLZp0r9n7LTZFSAkEBcrHs+8ee/NZHM7WcOOEKJG1/FmVXMGTmKv3aHjX7/sXq05&#13;&#10;i0m4Xhh00PETRH67ffliM/oWrnBA00NgBOJiO/qODyn5tqqiHMCKuEIPjh4VBisSXcOh6oMYCd2a&#13;&#10;6qqub6oRQ+8DSoiRovfzI98WfKVApk9KRUjMdJy4pXKGcu7zWW03oj0E4QctzzTEP7CwQjtqukDd&#13;&#10;iyTY96B/gbJaBoyo0kqirVApLaFoIDVN/ZOax0F4KFrInOgXm+L/g5Ufj3fuIZANo49t9A8hq5hU&#13;&#10;sEwZ7b/RTIsuYsqmYttpsQ2mxCQFm3WzrutrzuTlrZohMpQPMb0HtCx/dNxolxWJVhw/xERtKfWS&#13;&#10;ksPGsbHjr29otiUtotH9ThuTH2M47O9MYEdB09y9eXtdv8sDJIhnaXQzjoJPespXOhmYG3wGxXSf&#13;&#10;ec8d8qrBAiukBJeaM65xlJ3LFFFYCs/U/lR4zs+lUNbwb4qXitIZXVqKrXYYfkc7TRfKas6/ODDr&#13;&#10;zhbssT+VSRdraJ+Kc+fdzwv7/F7Kn/7Q7Q8AAAD//wMAUEsDBBQABgAIAAAAIQA+PxMn4gAAABEB&#13;&#10;AAAPAAAAZHJzL2Rvd25yZXYueG1sTE9NT8JAEL2b+B82Y+INth+CtXRLDMZwawCJXpd2aKvd2dpd&#13;&#10;oP57x4PRyyTz5s37yJaj6cQZB9daUhBOAxBIpa1aqhXsX54nCQjnNVW6s4QKvtDBMr++ynRa2Qtt&#13;&#10;8bzztWARcqlW0Hjfp1K6skGj3dT2SHw72sFoz+tQy2rQFxY3nYyCYC6NbokdGt3jqsHyY3cyCor9&#13;&#10;Zv1eHBParouH11UYvn3eU6zU7c34tODxuADhcfR/H/DTgfNDzsEO9kSVE52CSRwxk/HZ3XwGghlR&#13;&#10;EocgDr+QzDP5v0n+DQAA//8DAFBLAQItABQABgAIAAAAIQC2gziS/gAAAOEBAAATAAAAAAAAAAAA&#13;&#10;AAAAAAAAAABbQ29udGVudF9UeXBlc10ueG1sUEsBAi0AFAAGAAgAAAAhADj9If/WAAAAlAEAAAsA&#13;&#10;AAAAAAAAAAAAAAAALwEAAF9yZWxzLy5yZWxzUEsBAi0AFAAGAAgAAAAhAPfxM47JAQAA6QMAAA4A&#13;&#10;AAAAAAAAAAAAAAAALgIAAGRycy9lMm9Eb2MueG1sUEsBAi0AFAAGAAgAAAAhAD4/EyfiAAAAEQEA&#13;&#10;AA8AAAAAAAAAAAAAAAAAIwQAAGRycy9kb3ducmV2LnhtbFBLBQYAAAAABAAEAPMAAAAyBQAAAAA=&#13;&#10;" strokecolor="#f9a50e" strokeweight="6pt"/>
          </w:pict>
        </mc:Fallback>
      </mc:AlternateContent>
    </w:r>
    <w:r w:rsidRPr="00607C68">
      <w:rPr>
        <w:rFonts w:cs="Arial"/>
        <w:b/>
        <w:iCs/>
        <w:noProof/>
        <w:sz w:val="20"/>
        <w:szCs w:val="22"/>
      </w:rPr>
      <mc:AlternateContent>
        <mc:Choice Requires="wps">
          <w:drawing>
            <wp:anchor distT="0" distB="0" distL="114300" distR="114300" simplePos="0" relativeHeight="251973120" behindDoc="0" locked="0" layoutInCell="1" allowOverlap="1" wp14:anchorId="0C5B0248" wp14:editId="1A734A5E">
              <wp:simplePos x="0" y="0"/>
              <wp:positionH relativeFrom="column">
                <wp:posOffset>1829435</wp:posOffset>
              </wp:positionH>
              <wp:positionV relativeFrom="paragraph">
                <wp:posOffset>9820910</wp:posOffset>
              </wp:positionV>
              <wp:extent cx="1796740" cy="0"/>
              <wp:effectExtent l="0" t="38100" r="51435" b="38100"/>
              <wp:wrapNone/>
              <wp:docPr id="4" name="Straight Connector 8"/>
              <wp:cNvGraphicFramePr/>
              <a:graphic xmlns:a="http://schemas.openxmlformats.org/drawingml/2006/main">
                <a:graphicData uri="http://schemas.microsoft.com/office/word/2010/wordprocessingShape">
                  <wps:wsp>
                    <wps:cNvCnPr/>
                    <wps:spPr>
                      <a:xfrm flipV="1">
                        <a:off x="0" y="0"/>
                        <a:ext cx="1796740"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9B177" id="Straight Connector 8" o:spid="_x0000_s1026" style="position:absolute;flip:y;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773.3pt" to="285.55pt,77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umQyAEAAOkDAAAOAAAAZHJzL2Uyb0RvYy54bWysU01v2zAMvQ/YfxB0X5wERdIZcXpokV2G&#13;&#10;rdjXXZGpWIC+QGmx8+9HyY5bbMOAFrsIFkU+vvdI7+4Ga9gZMGrvGr5aLDkDJ32r3anh378d3t1y&#13;&#10;FpNwrTDeQcMvEPnd/u2bXR9qWPvOmxaQEYiLdR8a3qUU6qqKsgMr4sIHcPSoPFqR6IqnqkXRE7o1&#13;&#10;1Xq53FS9xzaglxAjRR/GR74v+EqBTJ+VipCYaThxS+XEch7zWe13oj6hCJ2WEw3xChZWaEdNZ6gH&#13;&#10;kQT7ifoPKKsl+uhVWkhvK6+UllA0kJrV8jc1XzsRoGghc2KYbYr/D1Z+Ot+7RyQb+hDrGB4xqxgU&#13;&#10;WqaMDj9opkUXMWVDse0y2wZDYpKCq+37zfaG3JXXt2qEyFABY/oA3rL80XCjXVYkanH+GBO1pdRr&#13;&#10;Sg4bx/qGbzc025IWvdHtQRuTHyOejvcG2VnQNA/rm832Ng+QIJ6l0c04Cj7pKV/pYmBs8AUU023m&#13;&#10;PXbIqwYzrJASXFpNuMZRdi5TRGEunKj9q3DKz6VQ1vAlxXNF6exdmoutdh7/RjsNV8pqzL86MOrO&#13;&#10;Fhx9eymTLtbQPhXnpt3PC/v8Xsqf/tD9LwAAAP//AwBQSwMEFAAGAAgAAAAhAEUFiATlAAAAEgEA&#13;&#10;AA8AAABkcnMvZG93bnJldi54bWxMT8tOwzAQvCPxD9YicaNOKhqiNE7VgioVVAnR9gA3N17igB8h&#13;&#10;dtvw9ywHRC8r7czs7Ew5G6xhR+xD652AdJQAQ1d71bpGwG67vMmBhSidksY7FPCNAWbV5UUpC+VP&#13;&#10;7gWPm9gwMnGhkAJ0jF3Beag1WhlGvkNH3LvvrYy09g1XvTyRuTV8nCQZt7J19EHLDu811p+bgxWQ&#13;&#10;fC21X6/M69vz49ws8tW2eVp8CHF9NTxMacynwCIO8f8CfjtQfqgo2N4fnArMCBjneUpSIia3WQaM&#13;&#10;JJO7lKD9H8Srkp9XqX4AAAD//wMAUEsBAi0AFAAGAAgAAAAhALaDOJL+AAAA4QEAABMAAAAAAAAA&#13;&#10;AAAAAAAAAAAAAFtDb250ZW50X1R5cGVzXS54bWxQSwECLQAUAAYACAAAACEAOP0h/9YAAACUAQAA&#13;&#10;CwAAAAAAAAAAAAAAAAAvAQAAX3JlbHMvLnJlbHNQSwECLQAUAAYACAAAACEA83LpkMgBAADpAwAA&#13;&#10;DgAAAAAAAAAAAAAAAAAuAgAAZHJzL2Uyb0RvYy54bWxQSwECLQAUAAYACAAAACEARQWIBOUAAAAS&#13;&#10;AQAADwAAAAAAAAAAAAAAAAAiBAAAZHJzL2Rvd25yZXYueG1sUEsFBgAAAAAEAAQA8wAAADQFAAAA&#13;&#10;AA==&#13;&#10;" strokecolor="#f24678"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AA6D" w14:textId="77777777" w:rsidR="00194D35" w:rsidRDefault="00194D35" w:rsidP="00D6622F">
      <w:r>
        <w:separator/>
      </w:r>
    </w:p>
  </w:footnote>
  <w:footnote w:type="continuationSeparator" w:id="0">
    <w:p w14:paraId="3BF72230" w14:textId="77777777" w:rsidR="00194D35" w:rsidRDefault="00194D35" w:rsidP="00D6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6374" w14:textId="77777777" w:rsidR="00C12D73" w:rsidRPr="00C45A8F" w:rsidRDefault="00C12D73" w:rsidP="00DD74FB">
    <w:pPr>
      <w:pStyle w:val="Header"/>
      <w:jc w:val="right"/>
      <w:rPr>
        <w:rFonts w:asciiTheme="minorHAnsi" w:hAnsiTheme="minorHAnsi"/>
        <w:szCs w:val="22"/>
      </w:rPr>
    </w:pPr>
    <w:r>
      <w:tab/>
    </w:r>
    <w:r>
      <w:tab/>
    </w:r>
  </w:p>
  <w:p w14:paraId="6E534615" w14:textId="77777777" w:rsidR="00C12D73" w:rsidRDefault="00C12D73" w:rsidP="00D6622F">
    <w:pPr>
      <w:pStyle w:val="Header"/>
      <w:jc w:val="right"/>
    </w:pPr>
    <w:r>
      <w:tab/>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5D25" w14:textId="77777777" w:rsidR="00725649" w:rsidRDefault="00725649" w:rsidP="00E32495">
    <w:pPr>
      <w:pStyle w:val="Header"/>
      <w:tabs>
        <w:tab w:val="left" w:pos="600"/>
      </w:tabs>
      <w:rPr>
        <w:sz w:val="18"/>
        <w:szCs w:val="18"/>
      </w:rPr>
    </w:pPr>
  </w:p>
  <w:p w14:paraId="0F891615" w14:textId="77777777" w:rsidR="00725649" w:rsidRDefault="00725649" w:rsidP="00E32495">
    <w:pPr>
      <w:pStyle w:val="Header"/>
      <w:tabs>
        <w:tab w:val="left" w:pos="600"/>
      </w:tabs>
      <w:rPr>
        <w:sz w:val="18"/>
        <w:szCs w:val="18"/>
      </w:rPr>
    </w:pPr>
  </w:p>
  <w:p w14:paraId="1920DB9A" w14:textId="77777777" w:rsidR="00725649" w:rsidRDefault="00725649" w:rsidP="00E32495">
    <w:pPr>
      <w:pStyle w:val="Header"/>
      <w:tabs>
        <w:tab w:val="left" w:pos="600"/>
      </w:tabs>
      <w:rPr>
        <w:sz w:val="18"/>
        <w:szCs w:val="18"/>
      </w:rPr>
    </w:pPr>
  </w:p>
  <w:p w14:paraId="1C9570B9" w14:textId="77777777" w:rsidR="00C12D73" w:rsidRPr="00461F8C" w:rsidRDefault="00C12D73" w:rsidP="00E32495">
    <w:pPr>
      <w:pStyle w:val="Header"/>
      <w:tabs>
        <w:tab w:val="left" w:pos="600"/>
      </w:tabs>
      <w:rPr>
        <w:sz w:val="18"/>
        <w:szCs w:val="18"/>
      </w:rPr>
    </w:pPr>
    <w:r>
      <w:rPr>
        <w:noProof/>
      </w:rPr>
      <mc:AlternateContent>
        <mc:Choice Requires="wps">
          <w:drawing>
            <wp:anchor distT="0" distB="0" distL="114300" distR="114300" simplePos="0" relativeHeight="251958784" behindDoc="0" locked="0" layoutInCell="1" allowOverlap="1" wp14:anchorId="6CB20326" wp14:editId="042FAF03">
              <wp:simplePos x="0" y="0"/>
              <wp:positionH relativeFrom="column">
                <wp:posOffset>9267190</wp:posOffset>
              </wp:positionH>
              <wp:positionV relativeFrom="paragraph">
                <wp:posOffset>3430905</wp:posOffset>
              </wp:positionV>
              <wp:extent cx="2952115" cy="3810"/>
              <wp:effectExtent l="19050" t="38100" r="38735" b="53340"/>
              <wp:wrapNone/>
              <wp:docPr id="11" name="Straight Connector 10"/>
              <wp:cNvGraphicFramePr/>
              <a:graphic xmlns:a="http://schemas.openxmlformats.org/drawingml/2006/main">
                <a:graphicData uri="http://schemas.microsoft.com/office/word/2010/wordprocessingShape">
                  <wps:wsp>
                    <wps:cNvCnPr/>
                    <wps:spPr>
                      <a:xfrm flipV="1">
                        <a:off x="0" y="0"/>
                        <a:ext cx="2952115" cy="381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DA77B" id="Straight Connector 10" o:spid="_x0000_s1026" style="position:absolute;flip:y;z-index:251958784;visibility:visible;mso-wrap-style:square;mso-wrap-distance-left:9pt;mso-wrap-distance-top:0;mso-wrap-distance-right:9pt;mso-wrap-distance-bottom:0;mso-position-horizontal:absolute;mso-position-horizontal-relative:text;mso-position-vertical:absolute;mso-position-vertical-relative:text" from="729.7pt,270.15pt" to="962.15pt,27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30ezwEAAOwDAAAOAAAAZHJzL2Uyb0RvYy54bWysU02P0zAQvSPxHyzfaT7QLrtR0xXqarkg&#13;&#10;WPF1d51xY8n2WLZp2n/P2GmzC4gDiIvleGbevPdmsr47WsMOEKJG1/NmVXMGTuKg3b7nX788vLrh&#13;&#10;LCbhBmHQQc9PEPnd5uWL9eQ7aHFEM0BgBOJiN/mejyn5rqqiHMGKuEIPjoIKgxWJPsO+GoKYCN2a&#13;&#10;qq3r62rCMPiAEmKk1/s5yDcFXymQ6aNSERIzPSduqZyhnLt8Vpu16PZB+FHLMw3xDyys0I6aLlD3&#13;&#10;Ign2PejfoKyWASOqtJJoK1RKSygaSE1T/6Lm8yg8FC1kTvSLTfH/wcoPh617DGTD5GMX/WPIKo4q&#13;&#10;WKaM9t9opkUXMWXHYttpsQ2OiUl6bG+v2qa54kxS7PVNU1ytZpSM5kNM7wAty5eeG+2yKNGJw/uY&#13;&#10;qDOlXlLys3Fs6vmbaxpvSYto9PCgjcnBGPa7rQnsIGig7dvbenvp9iyNAI0j3CdJ5ZZOBuYGn0Ax&#13;&#10;PRD1WVzZNlhghZTgUpN3oyBRdi5TRGEpPFPLa/qnwnN+LoWyiX9TvFSUzujSUmy1wzAb83P3dLxQ&#13;&#10;VnP+xYFZd7Zgh8OpDLtYQytVFJ7XP+/s8+9S/vSTbn4AAAD//wMAUEsDBBQABgAIAAAAIQCDvn6J&#13;&#10;5QAAABIBAAAPAAAAZHJzL2Rvd25yZXYueG1sTE/BTsMwDL0j8Q+RkbixlNGhtWs6DRCCCwi6TYhb&#13;&#10;2nhtReNUTbaVv8fjAhfLz35+fi9bjrYTBxx860jB9SQCgVQ501KtYLN+vJqD8EGT0Z0jVPCNHpb5&#13;&#10;+VmmU+OO9I6HItSCRcinWkETQp9K6asGrfYT1yPxbucGqwPDoZZm0EcWt52cRtGttLol/tDoHu8b&#13;&#10;rL6KvVVQbp93A5Yvn7i1xZ1f+af52+uHUpcX48OCy2oBIuAY/i7glIH9Q87GSrcn40XHOJ4lMXMV&#13;&#10;zOLoBsSJkkxj7srfUQIyz+T/KPkPAAAA//8DAFBLAQItABQABgAIAAAAIQC2gziS/gAAAOEBAAAT&#13;&#10;AAAAAAAAAAAAAAAAAAAAAABbQ29udGVudF9UeXBlc10ueG1sUEsBAi0AFAAGAAgAAAAhADj9If/W&#13;&#10;AAAAlAEAAAsAAAAAAAAAAAAAAAAALwEAAF9yZWxzLy5yZWxzUEsBAi0AFAAGAAgAAAAhAPxTfR7P&#13;&#10;AQAA7AMAAA4AAAAAAAAAAAAAAAAALgIAAGRycy9lMm9Eb2MueG1sUEsBAi0AFAAGAAgAAAAhAIO+&#13;&#10;fonlAAAAEgEAAA8AAAAAAAAAAAAAAAAAKQQAAGRycy9kb3ducmV2LnhtbFBLBQYAAAAABAAEAPMA&#13;&#10;AAA7BQAAAAA=&#13;&#10;" strokecolor="#2a90c0" strokeweight="6pt"/>
          </w:pict>
        </mc:Fallback>
      </mc:AlternateContent>
    </w:r>
    <w:r w:rsidRPr="00461F8C">
      <w:rPr>
        <w:sz w:val="18"/>
        <w:szCs w:val="18"/>
      </w:rPr>
      <w:tab/>
    </w:r>
    <w:r w:rsidRPr="00461F8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NHS RGB small.jpg" style="width:34.9pt;height:14.55pt;visibility:visible;mso-wrap-style:square" o:bullet="t">
        <v:imagedata r:id="rId1" o:title="NHS RGB small"/>
      </v:shape>
    </w:pict>
  </w:numPicBullet>
  <w:abstractNum w:abstractNumId="0" w15:restartNumberingAfterBreak="0">
    <w:nsid w:val="03F57CC8"/>
    <w:multiLevelType w:val="hybridMultilevel"/>
    <w:tmpl w:val="63C4A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A3B55"/>
    <w:multiLevelType w:val="hybridMultilevel"/>
    <w:tmpl w:val="EDC4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424B8"/>
    <w:multiLevelType w:val="multilevel"/>
    <w:tmpl w:val="A77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32559"/>
    <w:multiLevelType w:val="hybridMultilevel"/>
    <w:tmpl w:val="23AE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631F"/>
    <w:multiLevelType w:val="hybridMultilevel"/>
    <w:tmpl w:val="D874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7605D"/>
    <w:multiLevelType w:val="multilevel"/>
    <w:tmpl w:val="6332F7F8"/>
    <w:lvl w:ilvl="0">
      <w:start w:val="1"/>
      <w:numFmt w:val="decimal"/>
      <w:lvlText w:val="%1."/>
      <w:lvlJc w:val="left"/>
      <w:pPr>
        <w:ind w:left="560" w:hanging="360"/>
      </w:pPr>
      <w:rPr>
        <w:rFonts w:hint="default"/>
      </w:rPr>
    </w:lvl>
    <w:lvl w:ilvl="1">
      <w:start w:val="4"/>
      <w:numFmt w:val="decimal"/>
      <w:isLgl/>
      <w:lvlText w:val="%1.%2"/>
      <w:lvlJc w:val="left"/>
      <w:pPr>
        <w:ind w:left="920" w:hanging="72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 w15:restartNumberingAfterBreak="0">
    <w:nsid w:val="1368356C"/>
    <w:multiLevelType w:val="hybridMultilevel"/>
    <w:tmpl w:val="6B6EE9BC"/>
    <w:lvl w:ilvl="0" w:tplc="08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30360F"/>
    <w:multiLevelType w:val="hybridMultilevel"/>
    <w:tmpl w:val="2094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43A89"/>
    <w:multiLevelType w:val="hybridMultilevel"/>
    <w:tmpl w:val="4AC4D468"/>
    <w:lvl w:ilvl="0" w:tplc="57D638A2">
      <w:start w:val="1"/>
      <w:numFmt w:val="decimal"/>
      <w:lvlText w:val="%1)"/>
      <w:lvlJc w:val="left"/>
      <w:pPr>
        <w:ind w:left="630" w:hanging="235"/>
      </w:pPr>
      <w:rPr>
        <w:rFonts w:ascii="Arial" w:eastAsia="Segoe UI" w:hAnsi="Arial" w:cs="Arial" w:hint="default"/>
        <w:color w:val="242424"/>
        <w:w w:val="100"/>
        <w:sz w:val="28"/>
        <w:szCs w:val="28"/>
        <w:lang w:val="en-US" w:eastAsia="en-US" w:bidi="ar-SA"/>
      </w:rPr>
    </w:lvl>
    <w:lvl w:ilvl="1" w:tplc="6E008398">
      <w:numFmt w:val="bullet"/>
      <w:lvlText w:val="•"/>
      <w:lvlJc w:val="left"/>
      <w:pPr>
        <w:ind w:left="1775" w:hanging="235"/>
      </w:pPr>
      <w:rPr>
        <w:rFonts w:hint="default"/>
        <w:lang w:val="en-US" w:eastAsia="en-US" w:bidi="ar-SA"/>
      </w:rPr>
    </w:lvl>
    <w:lvl w:ilvl="2" w:tplc="F72626B6">
      <w:numFmt w:val="bullet"/>
      <w:lvlText w:val="•"/>
      <w:lvlJc w:val="left"/>
      <w:pPr>
        <w:ind w:left="2911" w:hanging="235"/>
      </w:pPr>
      <w:rPr>
        <w:rFonts w:hint="default"/>
        <w:lang w:val="en-US" w:eastAsia="en-US" w:bidi="ar-SA"/>
      </w:rPr>
    </w:lvl>
    <w:lvl w:ilvl="3" w:tplc="58308858">
      <w:numFmt w:val="bullet"/>
      <w:lvlText w:val="•"/>
      <w:lvlJc w:val="left"/>
      <w:pPr>
        <w:ind w:left="4047" w:hanging="235"/>
      </w:pPr>
      <w:rPr>
        <w:rFonts w:hint="default"/>
        <w:lang w:val="en-US" w:eastAsia="en-US" w:bidi="ar-SA"/>
      </w:rPr>
    </w:lvl>
    <w:lvl w:ilvl="4" w:tplc="FD44B3BA">
      <w:numFmt w:val="bullet"/>
      <w:lvlText w:val="•"/>
      <w:lvlJc w:val="left"/>
      <w:pPr>
        <w:ind w:left="5183" w:hanging="235"/>
      </w:pPr>
      <w:rPr>
        <w:rFonts w:hint="default"/>
        <w:lang w:val="en-US" w:eastAsia="en-US" w:bidi="ar-SA"/>
      </w:rPr>
    </w:lvl>
    <w:lvl w:ilvl="5" w:tplc="8654D15E">
      <w:numFmt w:val="bullet"/>
      <w:lvlText w:val="•"/>
      <w:lvlJc w:val="left"/>
      <w:pPr>
        <w:ind w:left="6319" w:hanging="235"/>
      </w:pPr>
      <w:rPr>
        <w:rFonts w:hint="default"/>
        <w:lang w:val="en-US" w:eastAsia="en-US" w:bidi="ar-SA"/>
      </w:rPr>
    </w:lvl>
    <w:lvl w:ilvl="6" w:tplc="C362171C">
      <w:numFmt w:val="bullet"/>
      <w:lvlText w:val="•"/>
      <w:lvlJc w:val="left"/>
      <w:pPr>
        <w:ind w:left="7455" w:hanging="235"/>
      </w:pPr>
      <w:rPr>
        <w:rFonts w:hint="default"/>
        <w:lang w:val="en-US" w:eastAsia="en-US" w:bidi="ar-SA"/>
      </w:rPr>
    </w:lvl>
    <w:lvl w:ilvl="7" w:tplc="EA14A28A">
      <w:numFmt w:val="bullet"/>
      <w:lvlText w:val="•"/>
      <w:lvlJc w:val="left"/>
      <w:pPr>
        <w:ind w:left="8590" w:hanging="235"/>
      </w:pPr>
      <w:rPr>
        <w:rFonts w:hint="default"/>
        <w:lang w:val="en-US" w:eastAsia="en-US" w:bidi="ar-SA"/>
      </w:rPr>
    </w:lvl>
    <w:lvl w:ilvl="8" w:tplc="19009744">
      <w:numFmt w:val="bullet"/>
      <w:lvlText w:val="•"/>
      <w:lvlJc w:val="left"/>
      <w:pPr>
        <w:ind w:left="9726" w:hanging="235"/>
      </w:pPr>
      <w:rPr>
        <w:rFonts w:hint="default"/>
        <w:lang w:val="en-US" w:eastAsia="en-US" w:bidi="ar-SA"/>
      </w:rPr>
    </w:lvl>
  </w:abstractNum>
  <w:abstractNum w:abstractNumId="9" w15:restartNumberingAfterBreak="0">
    <w:nsid w:val="1C4362A4"/>
    <w:multiLevelType w:val="hybridMultilevel"/>
    <w:tmpl w:val="EFA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C3FF3"/>
    <w:multiLevelType w:val="hybridMultilevel"/>
    <w:tmpl w:val="AD7AC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2729D"/>
    <w:multiLevelType w:val="hybridMultilevel"/>
    <w:tmpl w:val="1E68EBA0"/>
    <w:lvl w:ilvl="0" w:tplc="EDA8FB42">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 w15:restartNumberingAfterBreak="0">
    <w:nsid w:val="25667A94"/>
    <w:multiLevelType w:val="hybridMultilevel"/>
    <w:tmpl w:val="E48A1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0E331A"/>
    <w:multiLevelType w:val="hybridMultilevel"/>
    <w:tmpl w:val="5B8C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D56F2"/>
    <w:multiLevelType w:val="hybridMultilevel"/>
    <w:tmpl w:val="6C36BE2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E2754F2"/>
    <w:multiLevelType w:val="hybridMultilevel"/>
    <w:tmpl w:val="418A9786"/>
    <w:lvl w:ilvl="0" w:tplc="88A0EE80">
      <w:numFmt w:val="bullet"/>
      <w:lvlText w:val="-"/>
      <w:lvlJc w:val="left"/>
      <w:pPr>
        <w:ind w:left="538" w:hanging="142"/>
      </w:pPr>
      <w:rPr>
        <w:rFonts w:ascii="Segoe UI" w:eastAsia="Segoe UI" w:hAnsi="Segoe UI" w:cs="Segoe UI" w:hint="default"/>
        <w:color w:val="242424"/>
        <w:w w:val="100"/>
        <w:sz w:val="21"/>
        <w:szCs w:val="21"/>
        <w:lang w:val="en-US" w:eastAsia="en-US" w:bidi="ar-SA"/>
      </w:rPr>
    </w:lvl>
    <w:lvl w:ilvl="1" w:tplc="27A664F4">
      <w:numFmt w:val="bullet"/>
      <w:lvlText w:val="•"/>
      <w:lvlJc w:val="left"/>
      <w:pPr>
        <w:ind w:left="1685" w:hanging="142"/>
      </w:pPr>
      <w:rPr>
        <w:rFonts w:hint="default"/>
        <w:lang w:val="en-US" w:eastAsia="en-US" w:bidi="ar-SA"/>
      </w:rPr>
    </w:lvl>
    <w:lvl w:ilvl="2" w:tplc="3B245EF8">
      <w:numFmt w:val="bullet"/>
      <w:lvlText w:val="•"/>
      <w:lvlJc w:val="left"/>
      <w:pPr>
        <w:ind w:left="2831" w:hanging="142"/>
      </w:pPr>
      <w:rPr>
        <w:rFonts w:hint="default"/>
        <w:lang w:val="en-US" w:eastAsia="en-US" w:bidi="ar-SA"/>
      </w:rPr>
    </w:lvl>
    <w:lvl w:ilvl="3" w:tplc="DCB6E9D0">
      <w:numFmt w:val="bullet"/>
      <w:lvlText w:val="•"/>
      <w:lvlJc w:val="left"/>
      <w:pPr>
        <w:ind w:left="3977" w:hanging="142"/>
      </w:pPr>
      <w:rPr>
        <w:rFonts w:hint="default"/>
        <w:lang w:val="en-US" w:eastAsia="en-US" w:bidi="ar-SA"/>
      </w:rPr>
    </w:lvl>
    <w:lvl w:ilvl="4" w:tplc="9872F860">
      <w:numFmt w:val="bullet"/>
      <w:lvlText w:val="•"/>
      <w:lvlJc w:val="left"/>
      <w:pPr>
        <w:ind w:left="5123" w:hanging="142"/>
      </w:pPr>
      <w:rPr>
        <w:rFonts w:hint="default"/>
        <w:lang w:val="en-US" w:eastAsia="en-US" w:bidi="ar-SA"/>
      </w:rPr>
    </w:lvl>
    <w:lvl w:ilvl="5" w:tplc="1D467532">
      <w:numFmt w:val="bullet"/>
      <w:lvlText w:val="•"/>
      <w:lvlJc w:val="left"/>
      <w:pPr>
        <w:ind w:left="6269" w:hanging="142"/>
      </w:pPr>
      <w:rPr>
        <w:rFonts w:hint="default"/>
        <w:lang w:val="en-US" w:eastAsia="en-US" w:bidi="ar-SA"/>
      </w:rPr>
    </w:lvl>
    <w:lvl w:ilvl="6" w:tplc="9298705E">
      <w:numFmt w:val="bullet"/>
      <w:lvlText w:val="•"/>
      <w:lvlJc w:val="left"/>
      <w:pPr>
        <w:ind w:left="7415" w:hanging="142"/>
      </w:pPr>
      <w:rPr>
        <w:rFonts w:hint="default"/>
        <w:lang w:val="en-US" w:eastAsia="en-US" w:bidi="ar-SA"/>
      </w:rPr>
    </w:lvl>
    <w:lvl w:ilvl="7" w:tplc="2CF078A6">
      <w:numFmt w:val="bullet"/>
      <w:lvlText w:val="•"/>
      <w:lvlJc w:val="left"/>
      <w:pPr>
        <w:ind w:left="8560" w:hanging="142"/>
      </w:pPr>
      <w:rPr>
        <w:rFonts w:hint="default"/>
        <w:lang w:val="en-US" w:eastAsia="en-US" w:bidi="ar-SA"/>
      </w:rPr>
    </w:lvl>
    <w:lvl w:ilvl="8" w:tplc="121E756A">
      <w:numFmt w:val="bullet"/>
      <w:lvlText w:val="•"/>
      <w:lvlJc w:val="left"/>
      <w:pPr>
        <w:ind w:left="9706" w:hanging="142"/>
      </w:pPr>
      <w:rPr>
        <w:rFonts w:hint="default"/>
        <w:lang w:val="en-US" w:eastAsia="en-US" w:bidi="ar-SA"/>
      </w:rPr>
    </w:lvl>
  </w:abstractNum>
  <w:abstractNum w:abstractNumId="16" w15:restartNumberingAfterBreak="0">
    <w:nsid w:val="31D14CDB"/>
    <w:multiLevelType w:val="hybridMultilevel"/>
    <w:tmpl w:val="7CF0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97A4F"/>
    <w:multiLevelType w:val="hybridMultilevel"/>
    <w:tmpl w:val="147AE88E"/>
    <w:lvl w:ilvl="0" w:tplc="15D260CE">
      <w:start w:val="1"/>
      <w:numFmt w:val="bullet"/>
      <w:lvlText w:val=""/>
      <w:lvlPicBulletId w:val="0"/>
      <w:lvlJc w:val="left"/>
      <w:pPr>
        <w:tabs>
          <w:tab w:val="num" w:pos="720"/>
        </w:tabs>
        <w:ind w:left="720" w:hanging="360"/>
      </w:pPr>
      <w:rPr>
        <w:rFonts w:ascii="Symbol" w:hAnsi="Symbol" w:hint="default"/>
      </w:rPr>
    </w:lvl>
    <w:lvl w:ilvl="1" w:tplc="59A44D02" w:tentative="1">
      <w:start w:val="1"/>
      <w:numFmt w:val="bullet"/>
      <w:lvlText w:val=""/>
      <w:lvlJc w:val="left"/>
      <w:pPr>
        <w:tabs>
          <w:tab w:val="num" w:pos="1440"/>
        </w:tabs>
        <w:ind w:left="1440" w:hanging="360"/>
      </w:pPr>
      <w:rPr>
        <w:rFonts w:ascii="Symbol" w:hAnsi="Symbol" w:hint="default"/>
      </w:rPr>
    </w:lvl>
    <w:lvl w:ilvl="2" w:tplc="AB14D2C4" w:tentative="1">
      <w:start w:val="1"/>
      <w:numFmt w:val="bullet"/>
      <w:lvlText w:val=""/>
      <w:lvlJc w:val="left"/>
      <w:pPr>
        <w:tabs>
          <w:tab w:val="num" w:pos="2160"/>
        </w:tabs>
        <w:ind w:left="2160" w:hanging="360"/>
      </w:pPr>
      <w:rPr>
        <w:rFonts w:ascii="Symbol" w:hAnsi="Symbol" w:hint="default"/>
      </w:rPr>
    </w:lvl>
    <w:lvl w:ilvl="3" w:tplc="1E9461BE" w:tentative="1">
      <w:start w:val="1"/>
      <w:numFmt w:val="bullet"/>
      <w:lvlText w:val=""/>
      <w:lvlJc w:val="left"/>
      <w:pPr>
        <w:tabs>
          <w:tab w:val="num" w:pos="2880"/>
        </w:tabs>
        <w:ind w:left="2880" w:hanging="360"/>
      </w:pPr>
      <w:rPr>
        <w:rFonts w:ascii="Symbol" w:hAnsi="Symbol" w:hint="default"/>
      </w:rPr>
    </w:lvl>
    <w:lvl w:ilvl="4" w:tplc="2E76AC86" w:tentative="1">
      <w:start w:val="1"/>
      <w:numFmt w:val="bullet"/>
      <w:lvlText w:val=""/>
      <w:lvlJc w:val="left"/>
      <w:pPr>
        <w:tabs>
          <w:tab w:val="num" w:pos="3600"/>
        </w:tabs>
        <w:ind w:left="3600" w:hanging="360"/>
      </w:pPr>
      <w:rPr>
        <w:rFonts w:ascii="Symbol" w:hAnsi="Symbol" w:hint="default"/>
      </w:rPr>
    </w:lvl>
    <w:lvl w:ilvl="5" w:tplc="2048DCB4" w:tentative="1">
      <w:start w:val="1"/>
      <w:numFmt w:val="bullet"/>
      <w:lvlText w:val=""/>
      <w:lvlJc w:val="left"/>
      <w:pPr>
        <w:tabs>
          <w:tab w:val="num" w:pos="4320"/>
        </w:tabs>
        <w:ind w:left="4320" w:hanging="360"/>
      </w:pPr>
      <w:rPr>
        <w:rFonts w:ascii="Symbol" w:hAnsi="Symbol" w:hint="default"/>
      </w:rPr>
    </w:lvl>
    <w:lvl w:ilvl="6" w:tplc="8506DD84" w:tentative="1">
      <w:start w:val="1"/>
      <w:numFmt w:val="bullet"/>
      <w:lvlText w:val=""/>
      <w:lvlJc w:val="left"/>
      <w:pPr>
        <w:tabs>
          <w:tab w:val="num" w:pos="5040"/>
        </w:tabs>
        <w:ind w:left="5040" w:hanging="360"/>
      </w:pPr>
      <w:rPr>
        <w:rFonts w:ascii="Symbol" w:hAnsi="Symbol" w:hint="default"/>
      </w:rPr>
    </w:lvl>
    <w:lvl w:ilvl="7" w:tplc="A484D426" w:tentative="1">
      <w:start w:val="1"/>
      <w:numFmt w:val="bullet"/>
      <w:lvlText w:val=""/>
      <w:lvlJc w:val="left"/>
      <w:pPr>
        <w:tabs>
          <w:tab w:val="num" w:pos="5760"/>
        </w:tabs>
        <w:ind w:left="5760" w:hanging="360"/>
      </w:pPr>
      <w:rPr>
        <w:rFonts w:ascii="Symbol" w:hAnsi="Symbol" w:hint="default"/>
      </w:rPr>
    </w:lvl>
    <w:lvl w:ilvl="8" w:tplc="6BFC3D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A945EA"/>
    <w:multiLevelType w:val="multilevel"/>
    <w:tmpl w:val="C77C8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930C7"/>
    <w:multiLevelType w:val="hybridMultilevel"/>
    <w:tmpl w:val="E684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717271"/>
    <w:multiLevelType w:val="hybridMultilevel"/>
    <w:tmpl w:val="0BA29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46F0B"/>
    <w:multiLevelType w:val="hybridMultilevel"/>
    <w:tmpl w:val="740ED7C8"/>
    <w:lvl w:ilvl="0" w:tplc="FFFFFFFF">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start w:val="6"/>
      <w:numFmt w:val="decimal"/>
      <w:lvlText w:val="%3."/>
      <w:lvlJc w:val="left"/>
      <w:pPr>
        <w:ind w:left="2700" w:hanging="360"/>
      </w:pPr>
      <w:rPr>
        <w:rFonts w:hint="default"/>
      </w:rPr>
    </w:lvl>
    <w:lvl w:ilvl="3" w:tplc="FFFFFFFF">
      <w:start w:val="3"/>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190188"/>
    <w:multiLevelType w:val="hybridMultilevel"/>
    <w:tmpl w:val="BDF2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7361B"/>
    <w:multiLevelType w:val="hybridMultilevel"/>
    <w:tmpl w:val="C6149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56745"/>
    <w:multiLevelType w:val="hybridMultilevel"/>
    <w:tmpl w:val="19EA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A7822"/>
    <w:multiLevelType w:val="hybridMultilevel"/>
    <w:tmpl w:val="46B86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E04D5"/>
    <w:multiLevelType w:val="hybridMultilevel"/>
    <w:tmpl w:val="10E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B383E"/>
    <w:multiLevelType w:val="hybridMultilevel"/>
    <w:tmpl w:val="BCD4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867F3"/>
    <w:multiLevelType w:val="hybridMultilevel"/>
    <w:tmpl w:val="63B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63909"/>
    <w:multiLevelType w:val="hybridMultilevel"/>
    <w:tmpl w:val="5BECE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E673D0"/>
    <w:multiLevelType w:val="hybridMultilevel"/>
    <w:tmpl w:val="859C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066B2"/>
    <w:multiLevelType w:val="hybridMultilevel"/>
    <w:tmpl w:val="0574A714"/>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5F9655C3"/>
    <w:multiLevelType w:val="hybridMultilevel"/>
    <w:tmpl w:val="BDF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2CF97"/>
    <w:multiLevelType w:val="hybridMultilevel"/>
    <w:tmpl w:val="D51E8366"/>
    <w:lvl w:ilvl="0" w:tplc="55A8965C">
      <w:start w:val="1"/>
      <w:numFmt w:val="decimal"/>
      <w:lvlText w:val="%1."/>
      <w:lvlJc w:val="left"/>
      <w:pPr>
        <w:ind w:left="360" w:hanging="360"/>
      </w:pPr>
      <w:rPr>
        <w:color w:val="auto"/>
      </w:rPr>
    </w:lvl>
    <w:lvl w:ilvl="1" w:tplc="017EA058">
      <w:start w:val="1"/>
      <w:numFmt w:val="lowerLetter"/>
      <w:lvlText w:val="%2."/>
      <w:lvlJc w:val="left"/>
      <w:pPr>
        <w:ind w:left="1440" w:hanging="360"/>
      </w:pPr>
    </w:lvl>
    <w:lvl w:ilvl="2" w:tplc="F238F6E6">
      <w:start w:val="1"/>
      <w:numFmt w:val="lowerRoman"/>
      <w:lvlText w:val="%3."/>
      <w:lvlJc w:val="right"/>
      <w:pPr>
        <w:ind w:left="2160" w:hanging="180"/>
      </w:pPr>
    </w:lvl>
    <w:lvl w:ilvl="3" w:tplc="7F181CC0">
      <w:start w:val="1"/>
      <w:numFmt w:val="decimal"/>
      <w:lvlText w:val="%4."/>
      <w:lvlJc w:val="left"/>
      <w:pPr>
        <w:ind w:left="2880" w:hanging="360"/>
      </w:pPr>
    </w:lvl>
    <w:lvl w:ilvl="4" w:tplc="68562018">
      <w:start w:val="1"/>
      <w:numFmt w:val="lowerLetter"/>
      <w:lvlText w:val="%5."/>
      <w:lvlJc w:val="left"/>
      <w:pPr>
        <w:ind w:left="3600" w:hanging="360"/>
      </w:pPr>
    </w:lvl>
    <w:lvl w:ilvl="5" w:tplc="922C416E">
      <w:start w:val="1"/>
      <w:numFmt w:val="lowerRoman"/>
      <w:lvlText w:val="%6."/>
      <w:lvlJc w:val="right"/>
      <w:pPr>
        <w:ind w:left="4320" w:hanging="180"/>
      </w:pPr>
    </w:lvl>
    <w:lvl w:ilvl="6" w:tplc="74986A06">
      <w:start w:val="1"/>
      <w:numFmt w:val="decimal"/>
      <w:lvlText w:val="%7."/>
      <w:lvlJc w:val="left"/>
      <w:pPr>
        <w:ind w:left="5040" w:hanging="360"/>
      </w:pPr>
    </w:lvl>
    <w:lvl w:ilvl="7" w:tplc="BE901EFC">
      <w:start w:val="1"/>
      <w:numFmt w:val="lowerLetter"/>
      <w:lvlText w:val="%8."/>
      <w:lvlJc w:val="left"/>
      <w:pPr>
        <w:ind w:left="5760" w:hanging="360"/>
      </w:pPr>
    </w:lvl>
    <w:lvl w:ilvl="8" w:tplc="2548A7D6">
      <w:start w:val="1"/>
      <w:numFmt w:val="lowerRoman"/>
      <w:lvlText w:val="%9."/>
      <w:lvlJc w:val="right"/>
      <w:pPr>
        <w:ind w:left="6480" w:hanging="180"/>
      </w:pPr>
    </w:lvl>
  </w:abstractNum>
  <w:abstractNum w:abstractNumId="34" w15:restartNumberingAfterBreak="0">
    <w:nsid w:val="655B2A6A"/>
    <w:multiLevelType w:val="hybridMultilevel"/>
    <w:tmpl w:val="CA86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F2929"/>
    <w:multiLevelType w:val="hybridMultilevel"/>
    <w:tmpl w:val="651E9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81F0B"/>
    <w:multiLevelType w:val="hybridMultilevel"/>
    <w:tmpl w:val="0D8E77C6"/>
    <w:lvl w:ilvl="0" w:tplc="6AC0D20A">
      <w:start w:val="1"/>
      <w:numFmt w:val="lowerLetter"/>
      <w:lvlText w:val="%1."/>
      <w:lvlJc w:val="left"/>
      <w:pPr>
        <w:ind w:left="1800" w:hanging="360"/>
      </w:pPr>
      <w:rPr>
        <w:rFonts w:asciiTheme="minorHAnsi" w:hAnsiTheme="minorHAnsi" w:cstheme="minorHAnsi"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7" w15:restartNumberingAfterBreak="0">
    <w:nsid w:val="66226B51"/>
    <w:multiLevelType w:val="hybridMultilevel"/>
    <w:tmpl w:val="A6384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E15CF"/>
    <w:multiLevelType w:val="hybridMultilevel"/>
    <w:tmpl w:val="6FF806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9327691"/>
    <w:multiLevelType w:val="hybridMultilevel"/>
    <w:tmpl w:val="BA4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105E8"/>
    <w:multiLevelType w:val="hybridMultilevel"/>
    <w:tmpl w:val="5ABC7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5B6E4A"/>
    <w:multiLevelType w:val="multilevel"/>
    <w:tmpl w:val="B4B27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2C13680"/>
    <w:multiLevelType w:val="hybridMultilevel"/>
    <w:tmpl w:val="154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70E2B"/>
    <w:multiLevelType w:val="hybridMultilevel"/>
    <w:tmpl w:val="D6A05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D433B3"/>
    <w:multiLevelType w:val="hybridMultilevel"/>
    <w:tmpl w:val="46E89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106694">
    <w:abstractNumId w:val="9"/>
  </w:num>
  <w:num w:numId="2" w16cid:durableId="1818112182">
    <w:abstractNumId w:val="17"/>
  </w:num>
  <w:num w:numId="3" w16cid:durableId="692877087">
    <w:abstractNumId w:val="27"/>
  </w:num>
  <w:num w:numId="4" w16cid:durableId="1839076845">
    <w:abstractNumId w:val="33"/>
  </w:num>
  <w:num w:numId="5" w16cid:durableId="27269091">
    <w:abstractNumId w:val="21"/>
  </w:num>
  <w:num w:numId="6" w16cid:durableId="596913975">
    <w:abstractNumId w:val="6"/>
  </w:num>
  <w:num w:numId="7" w16cid:durableId="2057000210">
    <w:abstractNumId w:val="15"/>
  </w:num>
  <w:num w:numId="8" w16cid:durableId="336812938">
    <w:abstractNumId w:val="8"/>
  </w:num>
  <w:num w:numId="9" w16cid:durableId="1500268017">
    <w:abstractNumId w:val="11"/>
  </w:num>
  <w:num w:numId="10" w16cid:durableId="1428426991">
    <w:abstractNumId w:val="31"/>
  </w:num>
  <w:num w:numId="11" w16cid:durableId="1600680286">
    <w:abstractNumId w:val="0"/>
  </w:num>
  <w:num w:numId="12" w16cid:durableId="369109543">
    <w:abstractNumId w:val="40"/>
  </w:num>
  <w:num w:numId="13" w16cid:durableId="1222987255">
    <w:abstractNumId w:val="41"/>
  </w:num>
  <w:num w:numId="14" w16cid:durableId="1154447796">
    <w:abstractNumId w:val="35"/>
  </w:num>
  <w:num w:numId="15" w16cid:durableId="1024016926">
    <w:abstractNumId w:val="18"/>
  </w:num>
  <w:num w:numId="16" w16cid:durableId="132716049">
    <w:abstractNumId w:val="29"/>
  </w:num>
  <w:num w:numId="17" w16cid:durableId="1183737293">
    <w:abstractNumId w:val="1"/>
  </w:num>
  <w:num w:numId="18" w16cid:durableId="1184321177">
    <w:abstractNumId w:val="39"/>
  </w:num>
  <w:num w:numId="19" w16cid:durableId="2056007422">
    <w:abstractNumId w:val="42"/>
  </w:num>
  <w:num w:numId="20" w16cid:durableId="1019694442">
    <w:abstractNumId w:val="30"/>
  </w:num>
  <w:num w:numId="21" w16cid:durableId="1677608869">
    <w:abstractNumId w:val="24"/>
  </w:num>
  <w:num w:numId="22" w16cid:durableId="1538160774">
    <w:abstractNumId w:val="16"/>
  </w:num>
  <w:num w:numId="23" w16cid:durableId="653413221">
    <w:abstractNumId w:val="26"/>
  </w:num>
  <w:num w:numId="24" w16cid:durableId="1609117233">
    <w:abstractNumId w:val="34"/>
  </w:num>
  <w:num w:numId="25" w16cid:durableId="658389584">
    <w:abstractNumId w:val="13"/>
  </w:num>
  <w:num w:numId="26" w16cid:durableId="1523592301">
    <w:abstractNumId w:val="19"/>
  </w:num>
  <w:num w:numId="27" w16cid:durableId="928734840">
    <w:abstractNumId w:val="2"/>
  </w:num>
  <w:num w:numId="28" w16cid:durableId="940603377">
    <w:abstractNumId w:val="3"/>
  </w:num>
  <w:num w:numId="29" w16cid:durableId="1967466402">
    <w:abstractNumId w:val="5"/>
  </w:num>
  <w:num w:numId="30" w16cid:durableId="65693652">
    <w:abstractNumId w:val="20"/>
  </w:num>
  <w:num w:numId="31" w16cid:durableId="1268077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594324">
    <w:abstractNumId w:val="44"/>
  </w:num>
  <w:num w:numId="33" w16cid:durableId="1733654223">
    <w:abstractNumId w:val="37"/>
  </w:num>
  <w:num w:numId="34" w16cid:durableId="694964834">
    <w:abstractNumId w:val="28"/>
  </w:num>
  <w:num w:numId="35" w16cid:durableId="1536118789">
    <w:abstractNumId w:val="14"/>
  </w:num>
  <w:num w:numId="36" w16cid:durableId="1274939768">
    <w:abstractNumId w:val="22"/>
  </w:num>
  <w:num w:numId="37" w16cid:durableId="1192105074">
    <w:abstractNumId w:val="43"/>
  </w:num>
  <w:num w:numId="38" w16cid:durableId="1491864694">
    <w:abstractNumId w:val="10"/>
  </w:num>
  <w:num w:numId="39" w16cid:durableId="896015191">
    <w:abstractNumId w:val="38"/>
  </w:num>
  <w:num w:numId="40" w16cid:durableId="1685741486">
    <w:abstractNumId w:val="7"/>
  </w:num>
  <w:num w:numId="41" w16cid:durableId="1341736166">
    <w:abstractNumId w:val="23"/>
  </w:num>
  <w:num w:numId="42" w16cid:durableId="1768381925">
    <w:abstractNumId w:val="4"/>
  </w:num>
  <w:num w:numId="43" w16cid:durableId="1923100670">
    <w:abstractNumId w:val="32"/>
  </w:num>
  <w:num w:numId="44" w16cid:durableId="400836272">
    <w:abstractNumId w:val="12"/>
  </w:num>
  <w:num w:numId="45" w16cid:durableId="4595671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2F"/>
    <w:rsid w:val="000001D8"/>
    <w:rsid w:val="00004494"/>
    <w:rsid w:val="000055A8"/>
    <w:rsid w:val="00013BD4"/>
    <w:rsid w:val="000238FF"/>
    <w:rsid w:val="0003215E"/>
    <w:rsid w:val="00043620"/>
    <w:rsid w:val="00050509"/>
    <w:rsid w:val="0005166D"/>
    <w:rsid w:val="000539C6"/>
    <w:rsid w:val="00057A7C"/>
    <w:rsid w:val="0006730B"/>
    <w:rsid w:val="00070204"/>
    <w:rsid w:val="000713BF"/>
    <w:rsid w:val="00086639"/>
    <w:rsid w:val="000908BC"/>
    <w:rsid w:val="000911BA"/>
    <w:rsid w:val="000952A6"/>
    <w:rsid w:val="000A487A"/>
    <w:rsid w:val="000B390E"/>
    <w:rsid w:val="000B64B2"/>
    <w:rsid w:val="000D0BCC"/>
    <w:rsid w:val="00100A34"/>
    <w:rsid w:val="00107240"/>
    <w:rsid w:val="001148B4"/>
    <w:rsid w:val="001170F4"/>
    <w:rsid w:val="00120308"/>
    <w:rsid w:val="00124DB7"/>
    <w:rsid w:val="00132451"/>
    <w:rsid w:val="00137FF8"/>
    <w:rsid w:val="00141A78"/>
    <w:rsid w:val="001425D5"/>
    <w:rsid w:val="00155A00"/>
    <w:rsid w:val="00176D68"/>
    <w:rsid w:val="00194D35"/>
    <w:rsid w:val="001A1B79"/>
    <w:rsid w:val="001A2849"/>
    <w:rsid w:val="001A7FE1"/>
    <w:rsid w:val="001B1614"/>
    <w:rsid w:val="001B2A9F"/>
    <w:rsid w:val="001B7BC7"/>
    <w:rsid w:val="001C2E0F"/>
    <w:rsid w:val="001C3149"/>
    <w:rsid w:val="001E0C2E"/>
    <w:rsid w:val="001E7A23"/>
    <w:rsid w:val="001F194B"/>
    <w:rsid w:val="002454A9"/>
    <w:rsid w:val="0024780A"/>
    <w:rsid w:val="00252049"/>
    <w:rsid w:val="00257A1F"/>
    <w:rsid w:val="00260AF0"/>
    <w:rsid w:val="00272D12"/>
    <w:rsid w:val="00273FA9"/>
    <w:rsid w:val="002770AA"/>
    <w:rsid w:val="002778FC"/>
    <w:rsid w:val="00290321"/>
    <w:rsid w:val="002975D6"/>
    <w:rsid w:val="002A55E0"/>
    <w:rsid w:val="002A5795"/>
    <w:rsid w:val="002B11FC"/>
    <w:rsid w:val="002C102D"/>
    <w:rsid w:val="002C311C"/>
    <w:rsid w:val="002C4DB1"/>
    <w:rsid w:val="002C5AA8"/>
    <w:rsid w:val="002C5B6D"/>
    <w:rsid w:val="00307668"/>
    <w:rsid w:val="00324E38"/>
    <w:rsid w:val="003323A9"/>
    <w:rsid w:val="0033565E"/>
    <w:rsid w:val="00340100"/>
    <w:rsid w:val="00341240"/>
    <w:rsid w:val="003510F6"/>
    <w:rsid w:val="00352C6D"/>
    <w:rsid w:val="00372D9C"/>
    <w:rsid w:val="00377F3F"/>
    <w:rsid w:val="003812A0"/>
    <w:rsid w:val="003906D1"/>
    <w:rsid w:val="00392395"/>
    <w:rsid w:val="0039633B"/>
    <w:rsid w:val="003A19A4"/>
    <w:rsid w:val="003A3984"/>
    <w:rsid w:val="003A3EF7"/>
    <w:rsid w:val="003B117F"/>
    <w:rsid w:val="003B71AF"/>
    <w:rsid w:val="003D4BDC"/>
    <w:rsid w:val="003E2A62"/>
    <w:rsid w:val="003E7FF3"/>
    <w:rsid w:val="003F3E42"/>
    <w:rsid w:val="003F3F15"/>
    <w:rsid w:val="003F5835"/>
    <w:rsid w:val="003F70DF"/>
    <w:rsid w:val="00400383"/>
    <w:rsid w:val="00405A37"/>
    <w:rsid w:val="00407D59"/>
    <w:rsid w:val="004166EF"/>
    <w:rsid w:val="00420F7D"/>
    <w:rsid w:val="0044375C"/>
    <w:rsid w:val="00444872"/>
    <w:rsid w:val="004470A9"/>
    <w:rsid w:val="00451BD7"/>
    <w:rsid w:val="00456057"/>
    <w:rsid w:val="00461F8C"/>
    <w:rsid w:val="0046773A"/>
    <w:rsid w:val="00472B05"/>
    <w:rsid w:val="004900C5"/>
    <w:rsid w:val="00491B5F"/>
    <w:rsid w:val="00495AE4"/>
    <w:rsid w:val="0049645C"/>
    <w:rsid w:val="004A25AA"/>
    <w:rsid w:val="004A3A89"/>
    <w:rsid w:val="004A3ABB"/>
    <w:rsid w:val="004A6183"/>
    <w:rsid w:val="004B2A04"/>
    <w:rsid w:val="004C4F42"/>
    <w:rsid w:val="004C72FE"/>
    <w:rsid w:val="004D2892"/>
    <w:rsid w:val="004D4D28"/>
    <w:rsid w:val="004D5A01"/>
    <w:rsid w:val="004E48A3"/>
    <w:rsid w:val="004F1AA1"/>
    <w:rsid w:val="004F3C11"/>
    <w:rsid w:val="00510958"/>
    <w:rsid w:val="00535676"/>
    <w:rsid w:val="00560FD0"/>
    <w:rsid w:val="0056732B"/>
    <w:rsid w:val="00577C40"/>
    <w:rsid w:val="00580FA6"/>
    <w:rsid w:val="00581A67"/>
    <w:rsid w:val="005865B6"/>
    <w:rsid w:val="0059436D"/>
    <w:rsid w:val="00595E61"/>
    <w:rsid w:val="005968E5"/>
    <w:rsid w:val="005A0CCA"/>
    <w:rsid w:val="005A77AC"/>
    <w:rsid w:val="00603706"/>
    <w:rsid w:val="00607C68"/>
    <w:rsid w:val="00617672"/>
    <w:rsid w:val="0062775F"/>
    <w:rsid w:val="006308F4"/>
    <w:rsid w:val="0063483E"/>
    <w:rsid w:val="0063722C"/>
    <w:rsid w:val="0064345E"/>
    <w:rsid w:val="00645277"/>
    <w:rsid w:val="0065092B"/>
    <w:rsid w:val="00652E03"/>
    <w:rsid w:val="00657FB2"/>
    <w:rsid w:val="00664440"/>
    <w:rsid w:val="00672504"/>
    <w:rsid w:val="00672F07"/>
    <w:rsid w:val="00681323"/>
    <w:rsid w:val="006849F0"/>
    <w:rsid w:val="00687094"/>
    <w:rsid w:val="006A467B"/>
    <w:rsid w:val="006B5306"/>
    <w:rsid w:val="006C0533"/>
    <w:rsid w:val="006D2BC0"/>
    <w:rsid w:val="006E36B0"/>
    <w:rsid w:val="006E4D5B"/>
    <w:rsid w:val="006E6A22"/>
    <w:rsid w:val="006F171F"/>
    <w:rsid w:val="006F4896"/>
    <w:rsid w:val="00710EE5"/>
    <w:rsid w:val="007118B8"/>
    <w:rsid w:val="00714994"/>
    <w:rsid w:val="007157E5"/>
    <w:rsid w:val="00716EE4"/>
    <w:rsid w:val="00717891"/>
    <w:rsid w:val="00725649"/>
    <w:rsid w:val="00727806"/>
    <w:rsid w:val="00736742"/>
    <w:rsid w:val="00746D08"/>
    <w:rsid w:val="007846DA"/>
    <w:rsid w:val="0078642A"/>
    <w:rsid w:val="007A70C1"/>
    <w:rsid w:val="007B0D2D"/>
    <w:rsid w:val="007D0757"/>
    <w:rsid w:val="007D2F90"/>
    <w:rsid w:val="007E6A82"/>
    <w:rsid w:val="007F33C8"/>
    <w:rsid w:val="0080026A"/>
    <w:rsid w:val="0081665C"/>
    <w:rsid w:val="00824809"/>
    <w:rsid w:val="00825F8D"/>
    <w:rsid w:val="00832032"/>
    <w:rsid w:val="00832EAB"/>
    <w:rsid w:val="00845F59"/>
    <w:rsid w:val="00852079"/>
    <w:rsid w:val="00861031"/>
    <w:rsid w:val="00871F76"/>
    <w:rsid w:val="0087510F"/>
    <w:rsid w:val="00876F27"/>
    <w:rsid w:val="00881D56"/>
    <w:rsid w:val="0088425D"/>
    <w:rsid w:val="00893E16"/>
    <w:rsid w:val="008A5FDC"/>
    <w:rsid w:val="008B21AC"/>
    <w:rsid w:val="008B4F67"/>
    <w:rsid w:val="008B6DA3"/>
    <w:rsid w:val="008B7394"/>
    <w:rsid w:val="008C48F8"/>
    <w:rsid w:val="008D59F4"/>
    <w:rsid w:val="008D5A74"/>
    <w:rsid w:val="008E3868"/>
    <w:rsid w:val="008E73C9"/>
    <w:rsid w:val="00900AAE"/>
    <w:rsid w:val="00900BDC"/>
    <w:rsid w:val="009020E1"/>
    <w:rsid w:val="00912429"/>
    <w:rsid w:val="009158BC"/>
    <w:rsid w:val="0091623F"/>
    <w:rsid w:val="00927024"/>
    <w:rsid w:val="0095367A"/>
    <w:rsid w:val="009A7792"/>
    <w:rsid w:val="009B2011"/>
    <w:rsid w:val="009B3FC2"/>
    <w:rsid w:val="009C58D9"/>
    <w:rsid w:val="009C5D7B"/>
    <w:rsid w:val="009D3DDF"/>
    <w:rsid w:val="009E3446"/>
    <w:rsid w:val="009E7040"/>
    <w:rsid w:val="00A03C5A"/>
    <w:rsid w:val="00A07FCE"/>
    <w:rsid w:val="00A108B6"/>
    <w:rsid w:val="00A15725"/>
    <w:rsid w:val="00A15D78"/>
    <w:rsid w:val="00A2260D"/>
    <w:rsid w:val="00A307CC"/>
    <w:rsid w:val="00A355A2"/>
    <w:rsid w:val="00A43891"/>
    <w:rsid w:val="00A46173"/>
    <w:rsid w:val="00A47AB8"/>
    <w:rsid w:val="00A503E2"/>
    <w:rsid w:val="00A52E47"/>
    <w:rsid w:val="00A66AC3"/>
    <w:rsid w:val="00A724AA"/>
    <w:rsid w:val="00A77C81"/>
    <w:rsid w:val="00A9253D"/>
    <w:rsid w:val="00A937A8"/>
    <w:rsid w:val="00AB3F31"/>
    <w:rsid w:val="00AC09A0"/>
    <w:rsid w:val="00AC0D0F"/>
    <w:rsid w:val="00AC297C"/>
    <w:rsid w:val="00AC5F54"/>
    <w:rsid w:val="00AE584A"/>
    <w:rsid w:val="00AE5D25"/>
    <w:rsid w:val="00AF376B"/>
    <w:rsid w:val="00B0250E"/>
    <w:rsid w:val="00B20F08"/>
    <w:rsid w:val="00B40916"/>
    <w:rsid w:val="00B42CCA"/>
    <w:rsid w:val="00B561F2"/>
    <w:rsid w:val="00B56A3E"/>
    <w:rsid w:val="00B77C9C"/>
    <w:rsid w:val="00B86DCC"/>
    <w:rsid w:val="00B902D3"/>
    <w:rsid w:val="00B90C1B"/>
    <w:rsid w:val="00B957B4"/>
    <w:rsid w:val="00BA1BFB"/>
    <w:rsid w:val="00BA4A06"/>
    <w:rsid w:val="00BA7E8E"/>
    <w:rsid w:val="00BB6A99"/>
    <w:rsid w:val="00BC0604"/>
    <w:rsid w:val="00BD7FD0"/>
    <w:rsid w:val="00BE552B"/>
    <w:rsid w:val="00BE68F3"/>
    <w:rsid w:val="00BF5229"/>
    <w:rsid w:val="00C0475F"/>
    <w:rsid w:val="00C107B6"/>
    <w:rsid w:val="00C12D73"/>
    <w:rsid w:val="00C32682"/>
    <w:rsid w:val="00C36163"/>
    <w:rsid w:val="00C41F60"/>
    <w:rsid w:val="00C455BC"/>
    <w:rsid w:val="00C5047B"/>
    <w:rsid w:val="00C512D3"/>
    <w:rsid w:val="00C54536"/>
    <w:rsid w:val="00C6009B"/>
    <w:rsid w:val="00C65C50"/>
    <w:rsid w:val="00C77E41"/>
    <w:rsid w:val="00C80483"/>
    <w:rsid w:val="00C9131D"/>
    <w:rsid w:val="00C93201"/>
    <w:rsid w:val="00C959EB"/>
    <w:rsid w:val="00C978CC"/>
    <w:rsid w:val="00CB3680"/>
    <w:rsid w:val="00CC15D6"/>
    <w:rsid w:val="00CC3C16"/>
    <w:rsid w:val="00CC41A3"/>
    <w:rsid w:val="00CD1C18"/>
    <w:rsid w:val="00CD4C16"/>
    <w:rsid w:val="00CD78A1"/>
    <w:rsid w:val="00CE028D"/>
    <w:rsid w:val="00D00D54"/>
    <w:rsid w:val="00D02D44"/>
    <w:rsid w:val="00D05CFA"/>
    <w:rsid w:val="00D2638F"/>
    <w:rsid w:val="00D4178F"/>
    <w:rsid w:val="00D60326"/>
    <w:rsid w:val="00D62CB5"/>
    <w:rsid w:val="00D6622F"/>
    <w:rsid w:val="00D67DCE"/>
    <w:rsid w:val="00D75104"/>
    <w:rsid w:val="00D77F52"/>
    <w:rsid w:val="00D80BBE"/>
    <w:rsid w:val="00D81AFB"/>
    <w:rsid w:val="00DA0E56"/>
    <w:rsid w:val="00DA38B9"/>
    <w:rsid w:val="00DB6C85"/>
    <w:rsid w:val="00DC6AE7"/>
    <w:rsid w:val="00DD34EC"/>
    <w:rsid w:val="00DD74FB"/>
    <w:rsid w:val="00DF4C1B"/>
    <w:rsid w:val="00E000E0"/>
    <w:rsid w:val="00E008A4"/>
    <w:rsid w:val="00E10348"/>
    <w:rsid w:val="00E2708C"/>
    <w:rsid w:val="00E3121F"/>
    <w:rsid w:val="00E32495"/>
    <w:rsid w:val="00E47FD8"/>
    <w:rsid w:val="00E54F5D"/>
    <w:rsid w:val="00E62B0F"/>
    <w:rsid w:val="00E66444"/>
    <w:rsid w:val="00E7406D"/>
    <w:rsid w:val="00E84E25"/>
    <w:rsid w:val="00E85A6E"/>
    <w:rsid w:val="00E96480"/>
    <w:rsid w:val="00EB2894"/>
    <w:rsid w:val="00EC2AF2"/>
    <w:rsid w:val="00EC3DBB"/>
    <w:rsid w:val="00EC53FD"/>
    <w:rsid w:val="00ED73E0"/>
    <w:rsid w:val="00EF19C2"/>
    <w:rsid w:val="00F06669"/>
    <w:rsid w:val="00F07BAD"/>
    <w:rsid w:val="00F1174D"/>
    <w:rsid w:val="00F278C8"/>
    <w:rsid w:val="00F32749"/>
    <w:rsid w:val="00F33E55"/>
    <w:rsid w:val="00F366DC"/>
    <w:rsid w:val="00F3718A"/>
    <w:rsid w:val="00F373E7"/>
    <w:rsid w:val="00F4097D"/>
    <w:rsid w:val="00F4550B"/>
    <w:rsid w:val="00F5378D"/>
    <w:rsid w:val="00F55175"/>
    <w:rsid w:val="00F5550A"/>
    <w:rsid w:val="00F6205B"/>
    <w:rsid w:val="00F667E1"/>
    <w:rsid w:val="00F90854"/>
    <w:rsid w:val="00F973B3"/>
    <w:rsid w:val="00FB5EFA"/>
    <w:rsid w:val="00FC285C"/>
    <w:rsid w:val="00FC43D5"/>
    <w:rsid w:val="00FD1AA4"/>
    <w:rsid w:val="00FD3871"/>
    <w:rsid w:val="00FD5C7D"/>
    <w:rsid w:val="00FE54DD"/>
    <w:rsid w:val="00FE6F80"/>
    <w:rsid w:val="00FF5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F3DBD"/>
  <w15:docId w15:val="{6755CAE6-7530-428A-BD15-BB1897B0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54536"/>
  </w:style>
  <w:style w:type="paragraph" w:styleId="Heading1">
    <w:name w:val="heading 1"/>
    <w:basedOn w:val="Normal"/>
    <w:next w:val="Normal"/>
    <w:link w:val="Heading1Char"/>
    <w:qFormat/>
    <w:rsid w:val="00C0475F"/>
    <w:pPr>
      <w:keepNext/>
      <w:keepLines/>
      <w:spacing w:before="240"/>
      <w:jc w:val="center"/>
      <w:outlineLvl w:val="0"/>
    </w:pPr>
    <w:rPr>
      <w:rFonts w:eastAsiaTheme="majorEastAsia" w:cstheme="majorBidi"/>
      <w:b/>
      <w:color w:val="365F91" w:themeColor="accent1" w:themeShade="BF"/>
      <w:sz w:val="36"/>
      <w:szCs w:val="32"/>
    </w:rPr>
  </w:style>
  <w:style w:type="paragraph" w:styleId="Heading2">
    <w:name w:val="heading 2"/>
    <w:basedOn w:val="Normal"/>
    <w:next w:val="Normal"/>
    <w:link w:val="Heading2Char"/>
    <w:unhideWhenUsed/>
    <w:qFormat/>
    <w:rsid w:val="00C0475F"/>
    <w:pPr>
      <w:keepNext/>
      <w:keepLines/>
      <w:spacing w:before="40"/>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nhideWhenUsed/>
    <w:qFormat/>
    <w:rsid w:val="00C0475F"/>
    <w:pPr>
      <w:keepNext/>
      <w:keepLines/>
      <w:spacing w:before="40"/>
      <w:outlineLvl w:val="2"/>
    </w:pPr>
    <w:rPr>
      <w:rFonts w:asciiTheme="majorHAnsi" w:eastAsiaTheme="majorEastAsia" w:hAnsiTheme="majorHAnsi" w:cstheme="majorBidi"/>
      <w:b/>
      <w:color w:val="365F91" w:themeColor="accent1" w:themeShade="BF"/>
      <w:sz w:val="24"/>
    </w:rPr>
  </w:style>
  <w:style w:type="paragraph" w:styleId="Heading4">
    <w:name w:val="heading 4"/>
    <w:basedOn w:val="Normal"/>
    <w:next w:val="Normal"/>
    <w:link w:val="Heading4Char"/>
    <w:semiHidden/>
    <w:unhideWhenUsed/>
    <w:qFormat/>
    <w:rsid w:val="00C047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0475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0475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047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047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047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622F"/>
    <w:pPr>
      <w:tabs>
        <w:tab w:val="center" w:pos="4513"/>
        <w:tab w:val="right" w:pos="9026"/>
      </w:tabs>
    </w:pPr>
  </w:style>
  <w:style w:type="character" w:customStyle="1" w:styleId="HeaderChar">
    <w:name w:val="Header Char"/>
    <w:basedOn w:val="DefaultParagraphFont"/>
    <w:link w:val="Header"/>
    <w:rsid w:val="00D6622F"/>
    <w:rPr>
      <w:sz w:val="24"/>
      <w:szCs w:val="24"/>
    </w:rPr>
  </w:style>
  <w:style w:type="paragraph" w:styleId="Footer">
    <w:name w:val="footer"/>
    <w:basedOn w:val="Normal"/>
    <w:link w:val="FooterChar"/>
    <w:uiPriority w:val="99"/>
    <w:rsid w:val="00D6622F"/>
    <w:pPr>
      <w:tabs>
        <w:tab w:val="center" w:pos="4513"/>
        <w:tab w:val="right" w:pos="9026"/>
      </w:tabs>
    </w:pPr>
  </w:style>
  <w:style w:type="character" w:customStyle="1" w:styleId="FooterChar">
    <w:name w:val="Footer Char"/>
    <w:basedOn w:val="DefaultParagraphFont"/>
    <w:link w:val="Footer"/>
    <w:uiPriority w:val="99"/>
    <w:rsid w:val="00D6622F"/>
    <w:rPr>
      <w:sz w:val="24"/>
      <w:szCs w:val="24"/>
    </w:rPr>
  </w:style>
  <w:style w:type="paragraph" w:styleId="BalloonText">
    <w:name w:val="Balloon Text"/>
    <w:basedOn w:val="Normal"/>
    <w:link w:val="BalloonTextChar"/>
    <w:rsid w:val="00D6622F"/>
    <w:rPr>
      <w:rFonts w:ascii="Tahoma" w:hAnsi="Tahoma" w:cs="Tahoma"/>
      <w:sz w:val="16"/>
      <w:szCs w:val="16"/>
    </w:rPr>
  </w:style>
  <w:style w:type="character" w:customStyle="1" w:styleId="BalloonTextChar">
    <w:name w:val="Balloon Text Char"/>
    <w:basedOn w:val="DefaultParagraphFont"/>
    <w:link w:val="BalloonText"/>
    <w:rsid w:val="00D6622F"/>
    <w:rPr>
      <w:rFonts w:ascii="Tahoma" w:hAnsi="Tahoma" w:cs="Tahoma"/>
      <w:sz w:val="16"/>
      <w:szCs w:val="16"/>
    </w:rPr>
  </w:style>
  <w:style w:type="table" w:styleId="TableGrid">
    <w:name w:val="Table Grid"/>
    <w:basedOn w:val="TableNormal"/>
    <w:uiPriority w:val="39"/>
    <w:rsid w:val="00260A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72780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27806"/>
    <w:rPr>
      <w:rFonts w:ascii="Consolas" w:eastAsiaTheme="minorHAnsi" w:hAnsi="Consolas" w:cstheme="minorBidi"/>
      <w:sz w:val="21"/>
      <w:szCs w:val="21"/>
      <w:lang w:eastAsia="en-US"/>
    </w:rPr>
  </w:style>
  <w:style w:type="paragraph" w:customStyle="1" w:styleId="Default">
    <w:name w:val="Default"/>
    <w:rsid w:val="00A355A2"/>
    <w:pPr>
      <w:autoSpaceDE w:val="0"/>
      <w:autoSpaceDN w:val="0"/>
      <w:adjustRightInd w:val="0"/>
    </w:pPr>
    <w:rPr>
      <w:rFonts w:cs="Arial"/>
      <w:color w:val="000000"/>
      <w:sz w:val="24"/>
    </w:rPr>
  </w:style>
  <w:style w:type="paragraph" w:styleId="ListParagraph">
    <w:name w:val="List Paragraph"/>
    <w:basedOn w:val="Normal"/>
    <w:uiPriority w:val="34"/>
    <w:qFormat/>
    <w:rsid w:val="00BB6A99"/>
    <w:pPr>
      <w:ind w:left="720"/>
      <w:contextualSpacing/>
    </w:pPr>
  </w:style>
  <w:style w:type="character" w:styleId="Hyperlink">
    <w:name w:val="Hyperlink"/>
    <w:basedOn w:val="DefaultParagraphFont"/>
    <w:uiPriority w:val="99"/>
    <w:unhideWhenUsed/>
    <w:rsid w:val="004B2A04"/>
    <w:rPr>
      <w:color w:val="0000FF" w:themeColor="hyperlink"/>
      <w:u w:val="single"/>
    </w:rPr>
  </w:style>
  <w:style w:type="character" w:styleId="CommentReference">
    <w:name w:val="annotation reference"/>
    <w:basedOn w:val="DefaultParagraphFont"/>
    <w:semiHidden/>
    <w:unhideWhenUsed/>
    <w:rsid w:val="000952A6"/>
    <w:rPr>
      <w:sz w:val="16"/>
      <w:szCs w:val="16"/>
    </w:rPr>
  </w:style>
  <w:style w:type="paragraph" w:styleId="CommentText">
    <w:name w:val="annotation text"/>
    <w:basedOn w:val="Normal"/>
    <w:link w:val="CommentTextChar"/>
    <w:semiHidden/>
    <w:unhideWhenUsed/>
    <w:rsid w:val="000952A6"/>
    <w:rPr>
      <w:sz w:val="20"/>
      <w:szCs w:val="20"/>
    </w:rPr>
  </w:style>
  <w:style w:type="character" w:customStyle="1" w:styleId="CommentTextChar">
    <w:name w:val="Comment Text Char"/>
    <w:basedOn w:val="DefaultParagraphFont"/>
    <w:link w:val="CommentText"/>
    <w:semiHidden/>
    <w:rsid w:val="000952A6"/>
  </w:style>
  <w:style w:type="paragraph" w:styleId="CommentSubject">
    <w:name w:val="annotation subject"/>
    <w:basedOn w:val="CommentText"/>
    <w:next w:val="CommentText"/>
    <w:link w:val="CommentSubjectChar"/>
    <w:semiHidden/>
    <w:unhideWhenUsed/>
    <w:rsid w:val="000952A6"/>
    <w:rPr>
      <w:b/>
      <w:bCs/>
    </w:rPr>
  </w:style>
  <w:style w:type="character" w:customStyle="1" w:styleId="CommentSubjectChar">
    <w:name w:val="Comment Subject Char"/>
    <w:basedOn w:val="CommentTextChar"/>
    <w:link w:val="CommentSubject"/>
    <w:semiHidden/>
    <w:rsid w:val="000952A6"/>
    <w:rPr>
      <w:b/>
      <w:bCs/>
    </w:rPr>
  </w:style>
  <w:style w:type="table" w:styleId="ListTable3-Accent1">
    <w:name w:val="List Table 3 Accent 1"/>
    <w:basedOn w:val="TableNormal"/>
    <w:uiPriority w:val="48"/>
    <w:rsid w:val="002C311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1B1614"/>
    <w:pPr>
      <w:spacing w:before="100" w:beforeAutospacing="1" w:after="100" w:afterAutospacing="1"/>
    </w:pPr>
  </w:style>
  <w:style w:type="character" w:customStyle="1" w:styleId="ui-provider">
    <w:name w:val="ui-provider"/>
    <w:basedOn w:val="DefaultParagraphFont"/>
    <w:rsid w:val="009B2011"/>
  </w:style>
  <w:style w:type="paragraph" w:styleId="FootnoteText">
    <w:name w:val="footnote text"/>
    <w:basedOn w:val="Normal"/>
    <w:link w:val="FootnoteTextChar"/>
    <w:uiPriority w:val="99"/>
    <w:semiHidden/>
    <w:unhideWhenUsed/>
    <w:rsid w:val="00C12D7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12D7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12D73"/>
    <w:rPr>
      <w:vertAlign w:val="superscript"/>
    </w:rPr>
  </w:style>
  <w:style w:type="character" w:customStyle="1" w:styleId="Heading3Char">
    <w:name w:val="Heading 3 Char"/>
    <w:basedOn w:val="DefaultParagraphFont"/>
    <w:link w:val="Heading3"/>
    <w:rsid w:val="00C0475F"/>
    <w:rPr>
      <w:rFonts w:asciiTheme="majorHAnsi" w:eastAsiaTheme="majorEastAsia" w:hAnsiTheme="majorHAnsi" w:cstheme="majorBidi"/>
      <w:b/>
      <w:color w:val="365F91" w:themeColor="accent1" w:themeShade="BF"/>
      <w:sz w:val="24"/>
      <w:szCs w:val="24"/>
    </w:rPr>
  </w:style>
  <w:style w:type="character" w:customStyle="1" w:styleId="Heading2Char">
    <w:name w:val="Heading 2 Char"/>
    <w:basedOn w:val="DefaultParagraphFont"/>
    <w:link w:val="Heading2"/>
    <w:rsid w:val="00C0475F"/>
    <w:rPr>
      <w:rFonts w:ascii="Arial" w:eastAsiaTheme="majorEastAsia" w:hAnsi="Arial" w:cstheme="majorBidi"/>
      <w:b/>
      <w:color w:val="365F91" w:themeColor="accent1" w:themeShade="BF"/>
      <w:sz w:val="28"/>
      <w:szCs w:val="26"/>
    </w:rPr>
  </w:style>
  <w:style w:type="character" w:customStyle="1" w:styleId="Heading1Char">
    <w:name w:val="Heading 1 Char"/>
    <w:basedOn w:val="DefaultParagraphFont"/>
    <w:link w:val="Heading1"/>
    <w:rsid w:val="00C0475F"/>
    <w:rPr>
      <w:rFonts w:ascii="Arial" w:eastAsiaTheme="majorEastAsia" w:hAnsi="Arial" w:cstheme="majorBidi"/>
      <w:b/>
      <w:color w:val="365F91" w:themeColor="accent1" w:themeShade="BF"/>
      <w:sz w:val="36"/>
      <w:szCs w:val="32"/>
    </w:rPr>
  </w:style>
  <w:style w:type="paragraph" w:customStyle="1" w:styleId="NHS">
    <w:name w:val="NHS"/>
    <w:basedOn w:val="Normal"/>
    <w:link w:val="NHSChar"/>
    <w:rsid w:val="00C12D73"/>
    <w:pPr>
      <w:jc w:val="center"/>
    </w:pPr>
    <w:rPr>
      <w:rFonts w:cs="Arial"/>
      <w:b/>
      <w:color w:val="1F497D" w:themeColor="text2"/>
      <w:sz w:val="28"/>
      <w:szCs w:val="28"/>
    </w:rPr>
  </w:style>
  <w:style w:type="paragraph" w:styleId="IntenseQuote">
    <w:name w:val="Intense Quote"/>
    <w:basedOn w:val="Normal"/>
    <w:next w:val="Normal"/>
    <w:link w:val="IntenseQuoteChar"/>
    <w:uiPriority w:val="30"/>
    <w:rsid w:val="00100A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HSChar">
    <w:name w:val="NHS Char"/>
    <w:basedOn w:val="DefaultParagraphFont"/>
    <w:link w:val="NHS"/>
    <w:rsid w:val="00C12D73"/>
    <w:rPr>
      <w:rFonts w:ascii="Arial" w:hAnsi="Arial" w:cs="Arial"/>
      <w:b/>
      <w:color w:val="1F497D" w:themeColor="text2"/>
      <w:sz w:val="28"/>
      <w:szCs w:val="28"/>
    </w:rPr>
  </w:style>
  <w:style w:type="character" w:customStyle="1" w:styleId="IntenseQuoteChar">
    <w:name w:val="Intense Quote Char"/>
    <w:basedOn w:val="DefaultParagraphFont"/>
    <w:link w:val="IntenseQuote"/>
    <w:uiPriority w:val="30"/>
    <w:rsid w:val="00100A34"/>
    <w:rPr>
      <w:rFonts w:ascii="Arial" w:hAnsi="Arial"/>
      <w:i/>
      <w:iCs/>
      <w:color w:val="4F81BD" w:themeColor="accent1"/>
      <w:sz w:val="22"/>
      <w:szCs w:val="24"/>
    </w:rPr>
  </w:style>
  <w:style w:type="character" w:customStyle="1" w:styleId="Heading4Char">
    <w:name w:val="Heading 4 Char"/>
    <w:basedOn w:val="DefaultParagraphFont"/>
    <w:link w:val="Heading4"/>
    <w:semiHidden/>
    <w:rsid w:val="00C0475F"/>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C0475F"/>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C0475F"/>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C0475F"/>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C047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0475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C0475F"/>
    <w:pPr>
      <w:spacing w:after="200"/>
    </w:pPr>
    <w:rPr>
      <w:i/>
      <w:iCs/>
      <w:color w:val="1F497D" w:themeColor="text2"/>
      <w:sz w:val="18"/>
      <w:szCs w:val="18"/>
    </w:rPr>
  </w:style>
  <w:style w:type="paragraph" w:styleId="TOCHeading">
    <w:name w:val="TOC Heading"/>
    <w:basedOn w:val="Heading1"/>
    <w:next w:val="Normal"/>
    <w:uiPriority w:val="39"/>
    <w:semiHidden/>
    <w:unhideWhenUsed/>
    <w:qFormat/>
    <w:rsid w:val="00C0475F"/>
    <w:pPr>
      <w:outlineLvl w:val="9"/>
    </w:pPr>
    <w:rPr>
      <w:rFonts w:asciiTheme="majorHAnsi" w:hAnsiTheme="majorHAnsi"/>
      <w:b w:val="0"/>
      <w:sz w:val="32"/>
    </w:rPr>
  </w:style>
  <w:style w:type="character" w:styleId="FollowedHyperlink">
    <w:name w:val="FollowedHyperlink"/>
    <w:basedOn w:val="DefaultParagraphFont"/>
    <w:semiHidden/>
    <w:unhideWhenUsed/>
    <w:rsid w:val="00FE5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422">
      <w:bodyDiv w:val="1"/>
      <w:marLeft w:val="0"/>
      <w:marRight w:val="0"/>
      <w:marTop w:val="0"/>
      <w:marBottom w:val="0"/>
      <w:divBdr>
        <w:top w:val="none" w:sz="0" w:space="0" w:color="auto"/>
        <w:left w:val="none" w:sz="0" w:space="0" w:color="auto"/>
        <w:bottom w:val="none" w:sz="0" w:space="0" w:color="auto"/>
        <w:right w:val="none" w:sz="0" w:space="0" w:color="auto"/>
      </w:divBdr>
    </w:div>
    <w:div w:id="412316119">
      <w:bodyDiv w:val="1"/>
      <w:marLeft w:val="0"/>
      <w:marRight w:val="0"/>
      <w:marTop w:val="0"/>
      <w:marBottom w:val="0"/>
      <w:divBdr>
        <w:top w:val="none" w:sz="0" w:space="0" w:color="auto"/>
        <w:left w:val="none" w:sz="0" w:space="0" w:color="auto"/>
        <w:bottom w:val="none" w:sz="0" w:space="0" w:color="auto"/>
        <w:right w:val="none" w:sz="0" w:space="0" w:color="auto"/>
      </w:divBdr>
    </w:div>
    <w:div w:id="677392255">
      <w:bodyDiv w:val="1"/>
      <w:marLeft w:val="0"/>
      <w:marRight w:val="0"/>
      <w:marTop w:val="0"/>
      <w:marBottom w:val="0"/>
      <w:divBdr>
        <w:top w:val="none" w:sz="0" w:space="0" w:color="auto"/>
        <w:left w:val="none" w:sz="0" w:space="0" w:color="auto"/>
        <w:bottom w:val="none" w:sz="0" w:space="0" w:color="auto"/>
        <w:right w:val="none" w:sz="0" w:space="0" w:color="auto"/>
      </w:divBdr>
    </w:div>
    <w:div w:id="771824071">
      <w:bodyDiv w:val="1"/>
      <w:marLeft w:val="0"/>
      <w:marRight w:val="0"/>
      <w:marTop w:val="0"/>
      <w:marBottom w:val="0"/>
      <w:divBdr>
        <w:top w:val="none" w:sz="0" w:space="0" w:color="auto"/>
        <w:left w:val="none" w:sz="0" w:space="0" w:color="auto"/>
        <w:bottom w:val="none" w:sz="0" w:space="0" w:color="auto"/>
        <w:right w:val="none" w:sz="0" w:space="0" w:color="auto"/>
      </w:divBdr>
    </w:div>
    <w:div w:id="773985596">
      <w:bodyDiv w:val="1"/>
      <w:marLeft w:val="0"/>
      <w:marRight w:val="0"/>
      <w:marTop w:val="0"/>
      <w:marBottom w:val="0"/>
      <w:divBdr>
        <w:top w:val="none" w:sz="0" w:space="0" w:color="auto"/>
        <w:left w:val="none" w:sz="0" w:space="0" w:color="auto"/>
        <w:bottom w:val="none" w:sz="0" w:space="0" w:color="auto"/>
        <w:right w:val="none" w:sz="0" w:space="0" w:color="auto"/>
      </w:divBdr>
    </w:div>
    <w:div w:id="979380661">
      <w:bodyDiv w:val="1"/>
      <w:marLeft w:val="0"/>
      <w:marRight w:val="0"/>
      <w:marTop w:val="0"/>
      <w:marBottom w:val="0"/>
      <w:divBdr>
        <w:top w:val="none" w:sz="0" w:space="0" w:color="auto"/>
        <w:left w:val="none" w:sz="0" w:space="0" w:color="auto"/>
        <w:bottom w:val="none" w:sz="0" w:space="0" w:color="auto"/>
        <w:right w:val="none" w:sz="0" w:space="0" w:color="auto"/>
      </w:divBdr>
    </w:div>
    <w:div w:id="1378092316">
      <w:bodyDiv w:val="1"/>
      <w:marLeft w:val="0"/>
      <w:marRight w:val="0"/>
      <w:marTop w:val="0"/>
      <w:marBottom w:val="0"/>
      <w:divBdr>
        <w:top w:val="none" w:sz="0" w:space="0" w:color="auto"/>
        <w:left w:val="none" w:sz="0" w:space="0" w:color="auto"/>
        <w:bottom w:val="none" w:sz="0" w:space="0" w:color="auto"/>
        <w:right w:val="none" w:sz="0" w:space="0" w:color="auto"/>
      </w:divBdr>
    </w:div>
    <w:div w:id="1528327238">
      <w:bodyDiv w:val="1"/>
      <w:marLeft w:val="0"/>
      <w:marRight w:val="0"/>
      <w:marTop w:val="0"/>
      <w:marBottom w:val="0"/>
      <w:divBdr>
        <w:top w:val="none" w:sz="0" w:space="0" w:color="auto"/>
        <w:left w:val="none" w:sz="0" w:space="0" w:color="auto"/>
        <w:bottom w:val="none" w:sz="0" w:space="0" w:color="auto"/>
        <w:right w:val="none" w:sz="0" w:space="0" w:color="auto"/>
      </w:divBdr>
    </w:div>
    <w:div w:id="1542859414">
      <w:bodyDiv w:val="1"/>
      <w:marLeft w:val="0"/>
      <w:marRight w:val="0"/>
      <w:marTop w:val="0"/>
      <w:marBottom w:val="0"/>
      <w:divBdr>
        <w:top w:val="none" w:sz="0" w:space="0" w:color="auto"/>
        <w:left w:val="none" w:sz="0" w:space="0" w:color="auto"/>
        <w:bottom w:val="none" w:sz="0" w:space="0" w:color="auto"/>
        <w:right w:val="none" w:sz="0" w:space="0" w:color="auto"/>
      </w:divBdr>
    </w:div>
    <w:div w:id="1862356150">
      <w:bodyDiv w:val="1"/>
      <w:marLeft w:val="0"/>
      <w:marRight w:val="0"/>
      <w:marTop w:val="0"/>
      <w:marBottom w:val="0"/>
      <w:divBdr>
        <w:top w:val="none" w:sz="0" w:space="0" w:color="auto"/>
        <w:left w:val="none" w:sz="0" w:space="0" w:color="auto"/>
        <w:bottom w:val="none" w:sz="0" w:space="0" w:color="auto"/>
        <w:right w:val="none" w:sz="0" w:space="0" w:color="auto"/>
      </w:divBdr>
    </w:div>
    <w:div w:id="1978365750">
      <w:bodyDiv w:val="1"/>
      <w:marLeft w:val="0"/>
      <w:marRight w:val="0"/>
      <w:marTop w:val="0"/>
      <w:marBottom w:val="0"/>
      <w:divBdr>
        <w:top w:val="none" w:sz="0" w:space="0" w:color="auto"/>
        <w:left w:val="none" w:sz="0" w:space="0" w:color="auto"/>
        <w:bottom w:val="none" w:sz="0" w:space="0" w:color="auto"/>
        <w:right w:val="none" w:sz="0" w:space="0" w:color="auto"/>
      </w:divBdr>
    </w:div>
    <w:div w:id="20603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p/national-general-practice-improvement-programme/intermediate-and-intensive-general-practice-improvement-support/" TargetMode="External"/><Relationship Id="rId18" Type="http://schemas.openxmlformats.org/officeDocument/2006/relationships/hyperlink" Target="https://www.england.nhs.uk/long-read/how-to-improve-telephone-journeys-in-general-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data-and-information%2Fpublications%2Fstatistical%2Fsubmissions-via-online-consultation-systems-in-general-practice%2Fapril-to-september-2023&amp;data=05%7C02%7Ckeira.moulds%40nhs.net%7C1f3f83e6aee945be9bd408dc36c9886e%7C37c354b285b047f5b22207b48d774ee3%7C0%7C0%7C638445486392743841%7CUnknown%7CTWFpbGZsb3d8eyJWIjoiMC4wLjAwMDAiLCJQIjoiV2luMzIiLCJBTiI6Ik1haWwiLCJXVCI6Mn0%3D%7C0%7C%7C%7C&amp;sdata=YXhw592R9LRDDTyzbY%2FwjUynnkK95cYOnBgGwb0Dcjk%3D&amp;reserved=0" TargetMode="External"/><Relationship Id="rId7" Type="http://schemas.openxmlformats.org/officeDocument/2006/relationships/settings" Target="settings.xml"/><Relationship Id="rId12" Type="http://schemas.openxmlformats.org/officeDocument/2006/relationships/hyperlink" Target="https://www.england.nhs.uk/wp-content/uploads/2024/03/PRN01035_iv-Network-Contract-DES-Part-B-guidance-non-clinical-April-2024.pdf" TargetMode="External"/><Relationship Id="rId17" Type="http://schemas.openxmlformats.org/officeDocument/2006/relationships/hyperlink" Target="mailto:nhsnwl.lon-nw-pcc@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gbr01.safelinks.protection.outlook.com/?url=https%3A%2F%2Fdigital.nhs.uk%2Fdata-and-information%2Fpublications%2Fstatistical%2Fsubmissions-via-online-consultation-systems-in-general-practice%2Fapril-to-september-2023&amp;data=05%7C02%7Ckeira.moulds%40nhs.net%7C1f3f83e6aee945be9bd408dc36c9886e%7C37c354b285b047f5b22207b48d774ee3%7C0%7C0%7C638445486392743841%7CUnknown%7CTWFpbGZsb3d8eyJWIjoiMC4wLjAwMDAiLCJQIjoiV2luMzIiLCJBTiI6Ik1haWwiLCJXVCI6Mn0%3D%7C0%7C%7C%7C&amp;sdata=YXhw592R9LRDDTyzbY%2FwjUynnkK95cYOnBgGwb0Dcj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england.nhs.uk/long-read/creating-a-highly-usable-and-accessible-gp-website-for-patien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ngland.nhs.uk/long-read/how-to-improve-care-related-processes-in-general-practice/" TargetMode="External"/><Relationship Id="rId10" Type="http://schemas.openxmlformats.org/officeDocument/2006/relationships/endnotes" Target="endnotes.xml"/><Relationship Id="rId19" Type="http://schemas.openxmlformats.org/officeDocument/2006/relationships/hyperlink" Target="https://gbr01.safelinks.protection.outlook.com/?url=https%3A%2F%2Fdigital.nhs.uk%2Fabout-nhs-digital%2Fcorporate-information-and-documents%2Fdirections-and-data-provision-notices%2Fdata-provision-notices-dpns%2Fonline-and-video-consultation-undertaken-in-general-practice&amp;data=05%7C02%7Ckeira.moulds%40nhs.net%7C1f3f83e6aee945be9bd408dc36c9886e%7C37c354b285b047f5b22207b48d774ee3%7C0%7C0%7C638445486392732401%7CUnknown%7CTWFpbGZsb3d8eyJWIjoiMC4wLjAwMDAiLCJQIjoiV2luMzIiLCJBTiI6Ik1haWwiLCJXVCI6Mn0%3D%7C0%7C%7C%7C&amp;sdata=HV%2B8EkkopEiwj3%2Fnqo7kZXrymLTPjJ%2FRkZsNud1%2Bt3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gland.nhs.uk/long-read/how-to-improve-care-navigation-in-general-pract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e33210-c79f-4019-b383-dd77a24d67e5">
      <Terms xmlns="http://schemas.microsoft.com/office/infopath/2007/PartnerControls"/>
    </lcf76f155ced4ddcb4097134ff3c332f>
    <_ip_UnifiedCompliancePolicyProperties xmlns="http://schemas.microsoft.com/sharepoint/v3" xsi:nil="true"/>
    <TaxCatchAll xmlns="18dac397-17d8-4799-9bbf-dda698f566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6127C752BC9D43853CAA4DD13AF06C" ma:contentTypeVersion="19" ma:contentTypeDescription="Create a new document." ma:contentTypeScope="" ma:versionID="ec0342da4740cea7e921c5536208a5c8">
  <xsd:schema xmlns:xsd="http://www.w3.org/2001/XMLSchema" xmlns:xs="http://www.w3.org/2001/XMLSchema" xmlns:p="http://schemas.microsoft.com/office/2006/metadata/properties" xmlns:ns1="http://schemas.microsoft.com/sharepoint/v3" xmlns:ns2="8ee33210-c79f-4019-b383-dd77a24d67e5" xmlns:ns3="18dac397-17d8-4799-9bbf-dda698f56604" targetNamespace="http://schemas.microsoft.com/office/2006/metadata/properties" ma:root="true" ma:fieldsID="53616fdb14fc3fd358b4e4f5ebd21f16" ns1:_="" ns2:_="" ns3:_="">
    <xsd:import namespace="http://schemas.microsoft.com/sharepoint/v3"/>
    <xsd:import namespace="8ee33210-c79f-4019-b383-dd77a24d67e5"/>
    <xsd:import namespace="18dac397-17d8-4799-9bbf-dda698f56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3210-c79f-4019-b383-dd77a24d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c397-17d8-4799-9bbf-dda698f566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6974d9-9383-41a1-9082-ad925850f065}" ma:internalName="TaxCatchAll" ma:showField="CatchAllData" ma:web="18dac397-17d8-4799-9bbf-dda698f56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6A269-E8E2-4532-BD99-241F64C4C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C6173-33D5-4ADA-B48F-F97E40362637}">
  <ds:schemaRefs>
    <ds:schemaRef ds:uri="http://schemas.openxmlformats.org/officeDocument/2006/bibliography"/>
  </ds:schemaRefs>
</ds:datastoreItem>
</file>

<file path=customXml/itemProps3.xml><?xml version="1.0" encoding="utf-8"?>
<ds:datastoreItem xmlns:ds="http://schemas.openxmlformats.org/officeDocument/2006/customXml" ds:itemID="{9B530070-AC15-45B1-A0C0-F54B5B1D7713}">
  <ds:schemaRefs>
    <ds:schemaRef ds:uri="http://schemas.microsoft.com/sharepoint/v3/contenttype/forms"/>
  </ds:schemaRefs>
</ds:datastoreItem>
</file>

<file path=customXml/itemProps4.xml><?xml version="1.0" encoding="utf-8"?>
<ds:datastoreItem xmlns:ds="http://schemas.openxmlformats.org/officeDocument/2006/customXml" ds:itemID="{E23653F9-640C-4440-9551-C1047D5B5A2E}"/>
</file>

<file path=docProps/app.xml><?xml version="1.0" encoding="utf-8"?>
<Properties xmlns="http://schemas.openxmlformats.org/officeDocument/2006/extended-properties" xmlns:vt="http://schemas.openxmlformats.org/officeDocument/2006/docPropsVTypes">
  <Template>Normal.dotm</Template>
  <TotalTime>7</TotalTime>
  <Pages>1</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Westminster PCT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wrieli</dc:creator>
  <cp:lastModifiedBy>BAKER, Yasmin (NHS NORTH WEST LONDON ICB - W2U3Z)</cp:lastModifiedBy>
  <cp:revision>4</cp:revision>
  <cp:lastPrinted>2012-11-22T14:34:00Z</cp:lastPrinted>
  <dcterms:created xsi:type="dcterms:W3CDTF">2024-07-23T18:54:00Z</dcterms:created>
  <dcterms:modified xsi:type="dcterms:W3CDTF">2024-07-23T19:04:00Z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0x0101003F6127C752BC9D43853CAA4DD13AF06C</vt:lpwstr>
  </property>
</Properties>
</file>