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val="01E0" w:firstRow="1" w:lastRow="1" w:firstColumn="1" w:lastColumn="1" w:noHBand="0" w:noVBand="0"/>
      </w:tblPr>
      <w:tblGrid>
        <w:gridCol w:w="1702"/>
        <w:gridCol w:w="8646"/>
      </w:tblGrid>
      <w:tr w:rsidRPr="00AE4437" w:rsidR="00262ECE" w:rsidTr="0BC45666" w14:paraId="41A57497" w14:textId="77777777">
        <w:trPr>
          <w:trHeight w:val="438"/>
        </w:trPr>
        <w:tc>
          <w:tcPr>
            <w:tcW w:w="1702" w:type="dxa"/>
            <w:shd w:val="clear" w:color="auto" w:fill="2F5496" w:themeFill="accent5" w:themeFillShade="BF"/>
            <w:tcMar/>
            <w:vAlign w:val="center"/>
            <w:hideMark/>
          </w:tcPr>
          <w:p w:rsidRPr="00AE4437" w:rsidR="00BD741A" w:rsidP="002E11CA" w:rsidRDefault="00BD741A" w14:paraId="24291E93" w14:textId="77777777">
            <w:pPr>
              <w:pStyle w:val="TableParagraph"/>
              <w:jc w:val="both"/>
              <w:rPr>
                <w:rFonts w:eastAsia="Arial" w:cstheme="minorHAnsi"/>
                <w:color w:val="FFFFFF" w:themeColor="background1"/>
                <w:sz w:val="20"/>
                <w:szCs w:val="20"/>
              </w:rPr>
            </w:pPr>
            <w:r w:rsidRPr="00AE4437">
              <w:rPr>
                <w:rFonts w:cstheme="minorHAnsi"/>
                <w:b/>
                <w:color w:val="FFFFFF" w:themeColor="background1"/>
                <w:spacing w:val="-1"/>
                <w:sz w:val="20"/>
                <w:szCs w:val="20"/>
              </w:rPr>
              <w:t xml:space="preserve">Service </w:t>
            </w:r>
          </w:p>
        </w:tc>
        <w:tc>
          <w:tcPr>
            <w:tcW w:w="8646" w:type="dxa"/>
            <w:tcMar/>
            <w:vAlign w:val="center"/>
            <w:hideMark/>
          </w:tcPr>
          <w:p w:rsidRPr="00AE4437" w:rsidR="00BD741A" w:rsidP="002E11CA" w:rsidRDefault="00B649BB" w14:paraId="5886ACF1" w14:textId="697D734A">
            <w:pPr>
              <w:pStyle w:val="TableParagraph"/>
              <w:jc w:val="both"/>
              <w:rPr>
                <w:rFonts w:eastAsia="Arial" w:cstheme="minorHAnsi"/>
                <w:sz w:val="20"/>
                <w:szCs w:val="20"/>
              </w:rPr>
            </w:pPr>
            <w:r>
              <w:rPr>
                <w:rFonts w:eastAsia="Arial" w:cstheme="minorHAnsi"/>
                <w:sz w:val="20"/>
                <w:szCs w:val="20"/>
              </w:rPr>
              <w:t>Early Onset Type 2 Diabetes Service</w:t>
            </w:r>
          </w:p>
        </w:tc>
      </w:tr>
      <w:tr w:rsidRPr="00AE4437" w:rsidR="00262ECE" w:rsidTr="0BC45666" w14:paraId="60BF9FCC" w14:textId="77777777">
        <w:trPr>
          <w:trHeight w:val="519"/>
        </w:trPr>
        <w:tc>
          <w:tcPr>
            <w:tcW w:w="1702" w:type="dxa"/>
            <w:shd w:val="clear" w:color="auto" w:fill="2F5496" w:themeFill="accent5" w:themeFillShade="BF"/>
            <w:tcMar/>
            <w:vAlign w:val="center"/>
            <w:hideMark/>
          </w:tcPr>
          <w:p w:rsidRPr="00AE4437" w:rsidR="00BD741A" w:rsidP="002E11CA" w:rsidRDefault="00BD741A" w14:paraId="037692EF" w14:textId="77777777">
            <w:pPr>
              <w:pStyle w:val="TableParagraph"/>
              <w:jc w:val="both"/>
              <w:rPr>
                <w:rFonts w:eastAsia="Arial" w:cstheme="minorHAnsi"/>
                <w:color w:val="FFFFFF" w:themeColor="background1"/>
                <w:sz w:val="20"/>
                <w:szCs w:val="20"/>
              </w:rPr>
            </w:pPr>
            <w:r w:rsidRPr="00AE4437">
              <w:rPr>
                <w:rFonts w:cstheme="minorHAnsi"/>
                <w:b/>
                <w:color w:val="FFFFFF" w:themeColor="background1"/>
                <w:spacing w:val="-1"/>
                <w:sz w:val="20"/>
                <w:szCs w:val="20"/>
              </w:rPr>
              <w:t>Delivery Point</w:t>
            </w:r>
          </w:p>
        </w:tc>
        <w:tc>
          <w:tcPr>
            <w:tcW w:w="8646" w:type="dxa"/>
            <w:tcMar/>
            <w:vAlign w:val="center"/>
          </w:tcPr>
          <w:p w:rsidRPr="00AE4437" w:rsidR="00BD741A" w:rsidP="7435F298" w:rsidRDefault="00587744" w14:paraId="76EF98A3" w14:textId="7F5C752F">
            <w:pPr>
              <w:jc w:val="both"/>
              <w:rPr>
                <w:sz w:val="20"/>
                <w:szCs w:val="20"/>
              </w:rPr>
            </w:pPr>
            <w:r w:rsidRPr="7435F298">
              <w:rPr>
                <w:sz w:val="20"/>
                <w:szCs w:val="20"/>
              </w:rPr>
              <w:t xml:space="preserve">Primary Care Networks or Integrated </w:t>
            </w:r>
            <w:r w:rsidRPr="7435F298" w:rsidR="58F16794">
              <w:rPr>
                <w:sz w:val="20"/>
                <w:szCs w:val="20"/>
              </w:rPr>
              <w:t>Neighborhood</w:t>
            </w:r>
            <w:r w:rsidRPr="7435F298">
              <w:rPr>
                <w:sz w:val="20"/>
                <w:szCs w:val="20"/>
              </w:rPr>
              <w:t xml:space="preserve"> Teams</w:t>
            </w:r>
          </w:p>
        </w:tc>
      </w:tr>
      <w:tr w:rsidRPr="00AE4437" w:rsidR="00262ECE" w:rsidTr="0BC45666" w14:paraId="56FC8F7B" w14:textId="77777777">
        <w:trPr>
          <w:trHeight w:val="519" w:hRule="exact"/>
        </w:trPr>
        <w:tc>
          <w:tcPr>
            <w:tcW w:w="1702" w:type="dxa"/>
            <w:shd w:val="clear" w:color="auto" w:fill="2F5496" w:themeFill="accent5" w:themeFillShade="BF"/>
            <w:tcMar/>
            <w:vAlign w:val="center"/>
          </w:tcPr>
          <w:p w:rsidRPr="00AE4437" w:rsidR="00BD741A" w:rsidP="002E11CA" w:rsidRDefault="00BD741A" w14:paraId="3262353E" w14:textId="77777777">
            <w:pPr>
              <w:pStyle w:val="TableParagraph"/>
              <w:jc w:val="both"/>
              <w:rPr>
                <w:rFonts w:cstheme="minorHAnsi"/>
                <w:b/>
                <w:color w:val="FFFFFF" w:themeColor="background1"/>
                <w:spacing w:val="-1"/>
                <w:sz w:val="20"/>
                <w:szCs w:val="20"/>
              </w:rPr>
            </w:pPr>
            <w:r w:rsidRPr="00AE4437">
              <w:rPr>
                <w:rFonts w:cstheme="minorHAnsi"/>
                <w:b/>
                <w:color w:val="FFFFFF" w:themeColor="background1"/>
                <w:spacing w:val="-1"/>
                <w:sz w:val="20"/>
                <w:szCs w:val="20"/>
              </w:rPr>
              <w:t>Date of Review</w:t>
            </w:r>
          </w:p>
        </w:tc>
        <w:tc>
          <w:tcPr>
            <w:tcW w:w="8646" w:type="dxa"/>
            <w:tcMar/>
            <w:vAlign w:val="center"/>
          </w:tcPr>
          <w:p w:rsidRPr="00AE4437" w:rsidR="00BD741A" w:rsidP="002E11CA" w:rsidRDefault="008F7B26" w14:paraId="7CA16715" w14:textId="19A10C2F">
            <w:pPr>
              <w:jc w:val="both"/>
              <w:rPr>
                <w:rFonts w:cstheme="minorHAnsi"/>
                <w:sz w:val="20"/>
                <w:szCs w:val="20"/>
              </w:rPr>
            </w:pPr>
            <w:r>
              <w:rPr>
                <w:rFonts w:cstheme="minorHAnsi"/>
                <w:sz w:val="20"/>
                <w:szCs w:val="20"/>
              </w:rPr>
              <w:t>4/10</w:t>
            </w:r>
            <w:r w:rsidR="005211DE">
              <w:rPr>
                <w:rFonts w:cstheme="minorHAnsi"/>
                <w:sz w:val="20"/>
                <w:szCs w:val="20"/>
              </w:rPr>
              <w:t>/</w:t>
            </w:r>
            <w:r w:rsidR="00BD741A">
              <w:rPr>
                <w:rFonts w:cstheme="minorHAnsi"/>
                <w:sz w:val="20"/>
                <w:szCs w:val="20"/>
              </w:rPr>
              <w:t>2023</w:t>
            </w:r>
          </w:p>
        </w:tc>
      </w:tr>
      <w:tr w:rsidRPr="00AE4437" w:rsidR="00272728" w:rsidTr="0BC45666" w14:paraId="68BA3E00" w14:textId="77777777">
        <w:trPr>
          <w:trHeight w:val="784" w:hRule="exact"/>
        </w:trPr>
        <w:tc>
          <w:tcPr>
            <w:tcW w:w="1702" w:type="dxa"/>
            <w:shd w:val="clear" w:color="auto" w:fill="2F5496" w:themeFill="accent5" w:themeFillShade="BF"/>
            <w:tcMar/>
            <w:vAlign w:val="center"/>
          </w:tcPr>
          <w:p w:rsidRPr="00AE4437" w:rsidR="00272728" w:rsidP="00272728" w:rsidRDefault="00272728" w14:paraId="32194F74" w14:textId="77777777">
            <w:pPr>
              <w:pStyle w:val="TableParagraph"/>
              <w:jc w:val="both"/>
              <w:rPr>
                <w:rFonts w:cstheme="minorHAnsi"/>
                <w:b/>
                <w:color w:val="FFFFFF" w:themeColor="background1"/>
                <w:spacing w:val="-1"/>
                <w:sz w:val="20"/>
                <w:szCs w:val="20"/>
              </w:rPr>
            </w:pPr>
            <w:r>
              <w:rPr>
                <w:rFonts w:cstheme="minorHAnsi"/>
                <w:b/>
                <w:color w:val="FFFFFF" w:themeColor="background1"/>
                <w:spacing w:val="-1"/>
                <w:sz w:val="20"/>
                <w:szCs w:val="20"/>
              </w:rPr>
              <w:t>Version control</w:t>
            </w:r>
          </w:p>
        </w:tc>
        <w:tc>
          <w:tcPr>
            <w:tcW w:w="8646" w:type="dxa"/>
            <w:tcMar/>
            <w:vAlign w:val="center"/>
          </w:tcPr>
          <w:p w:rsidR="00272728" w:rsidP="00272728" w:rsidRDefault="00272728" w14:paraId="4CA5698C" w14:textId="77777777">
            <w:pPr>
              <w:jc w:val="both"/>
              <w:rPr>
                <w:sz w:val="20"/>
                <w:szCs w:val="20"/>
              </w:rPr>
            </w:pPr>
            <w:r>
              <w:rPr>
                <w:sz w:val="20"/>
                <w:szCs w:val="20"/>
              </w:rPr>
              <w:t xml:space="preserve">v0.1 Tony Willis and the MDT Level 2 Service Specification Task and Finish Group </w:t>
            </w:r>
          </w:p>
          <w:p w:rsidRPr="008505D1" w:rsidR="00272728" w:rsidP="0BC45666" w:rsidRDefault="00272728" w14:paraId="55657432" w14:textId="0291F957">
            <w:pPr>
              <w:jc w:val="both"/>
              <w:rPr>
                <w:sz w:val="20"/>
                <w:szCs w:val="20"/>
              </w:rPr>
            </w:pPr>
            <w:r w:rsidRPr="0BC45666" w:rsidR="00272728">
              <w:rPr>
                <w:sz w:val="20"/>
                <w:szCs w:val="20"/>
              </w:rPr>
              <w:t>v0.</w:t>
            </w:r>
            <w:r w:rsidRPr="0BC45666" w:rsidR="00041623">
              <w:rPr>
                <w:sz w:val="20"/>
                <w:szCs w:val="20"/>
              </w:rPr>
              <w:t>2</w:t>
            </w:r>
            <w:r w:rsidRPr="0BC45666" w:rsidR="00334725">
              <w:rPr>
                <w:sz w:val="20"/>
                <w:szCs w:val="20"/>
              </w:rPr>
              <w:t xml:space="preserve"> Updated ARRS </w:t>
            </w:r>
            <w:r w:rsidRPr="0BC45666" w:rsidR="00204F51">
              <w:rPr>
                <w:sz w:val="20"/>
                <w:szCs w:val="20"/>
              </w:rPr>
              <w:t>referral code set</w:t>
            </w:r>
          </w:p>
          <w:p w:rsidRPr="008505D1" w:rsidR="00272728" w:rsidP="0BC45666" w:rsidRDefault="00272728" w14:paraId="1009F2F4" w14:textId="26EE2CD0">
            <w:pPr>
              <w:pStyle w:val="Normal"/>
              <w:jc w:val="both"/>
              <w:rPr>
                <w:sz w:val="20"/>
                <w:szCs w:val="20"/>
              </w:rPr>
            </w:pPr>
            <w:r w:rsidRPr="0BC45666" w:rsidR="553E9477">
              <w:rPr>
                <w:sz w:val="20"/>
                <w:szCs w:val="20"/>
              </w:rPr>
              <w:t>v0.3 Hyperlinks added to appendices</w:t>
            </w:r>
          </w:p>
        </w:tc>
      </w:tr>
    </w:tbl>
    <w:p w:rsidRPr="00AE4437" w:rsidR="00BD741A" w:rsidP="00BD741A" w:rsidRDefault="00BD741A" w14:paraId="4BE96B27" w14:textId="77777777">
      <w:pPr>
        <w:ind w:left="-709" w:right="-778"/>
        <w:jc w:val="both"/>
        <w:rPr>
          <w:rFonts w:eastAsia="Arial" w:cstheme="minorHAnsi"/>
          <w:sz w:val="12"/>
          <w:szCs w:val="12"/>
        </w:rPr>
      </w:pPr>
    </w:p>
    <w:tbl>
      <w:tblPr>
        <w:tblW w:w="1045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Look w:val="01E0" w:firstRow="1" w:lastRow="1" w:firstColumn="1" w:lastColumn="1" w:noHBand="0" w:noVBand="0"/>
      </w:tblPr>
      <w:tblGrid>
        <w:gridCol w:w="10455"/>
      </w:tblGrid>
      <w:tr w:rsidRPr="00AE4437" w:rsidR="00BD741A" w:rsidTr="0BC45666" w14:paraId="7BC3FD2B" w14:textId="77777777">
        <w:tc>
          <w:tcPr>
            <w:tcW w:w="10455" w:type="dxa"/>
            <w:shd w:val="clear" w:color="auto" w:fill="2F5496" w:themeFill="accent5" w:themeFillShade="BF"/>
            <w:tcMar/>
            <w:vAlign w:val="center"/>
            <w:hideMark/>
          </w:tcPr>
          <w:p w:rsidRPr="00AE4437" w:rsidR="00BD741A" w:rsidP="00CB778D" w:rsidRDefault="00BD741A" w14:paraId="54C09940" w14:textId="77777777">
            <w:pPr>
              <w:pStyle w:val="TableParagraph"/>
              <w:numPr>
                <w:ilvl w:val="0"/>
                <w:numId w:val="12"/>
              </w:numPr>
              <w:ind w:left="316" w:hanging="316"/>
              <w:rPr>
                <w:rFonts w:eastAsia="Arial" w:cstheme="minorHAnsi"/>
                <w:sz w:val="20"/>
                <w:szCs w:val="20"/>
              </w:rPr>
            </w:pPr>
            <w:r w:rsidRPr="00AE4437">
              <w:rPr>
                <w:rFonts w:cstheme="minorHAnsi"/>
                <w:b/>
                <w:color w:val="FFFFFF" w:themeColor="background1"/>
                <w:spacing w:val="-1"/>
                <w:sz w:val="20"/>
                <w:szCs w:val="20"/>
              </w:rPr>
              <w:t>National context and evidence base</w:t>
            </w:r>
          </w:p>
        </w:tc>
      </w:tr>
      <w:tr w:rsidRPr="00AE4437" w:rsidR="00BD741A" w:rsidTr="0BC45666" w14:paraId="6CA3106F" w14:textId="77777777">
        <w:tc>
          <w:tcPr>
            <w:tcW w:w="10455" w:type="dxa"/>
            <w:shd w:val="clear" w:color="auto" w:fill="FFFFFF" w:themeFill="background1"/>
            <w:tcMar/>
            <w:vAlign w:val="center"/>
          </w:tcPr>
          <w:p w:rsidR="00EA2F7B" w:rsidP="00EA2F7B" w:rsidRDefault="00EA2F7B" w14:paraId="3647C076" w14:textId="6DEE08EB">
            <w:pPr>
              <w:widowControl/>
              <w:jc w:val="both"/>
              <w:rPr>
                <w:rFonts w:cstheme="minorHAnsi"/>
                <w:sz w:val="20"/>
                <w:szCs w:val="20"/>
                <w:lang w:val="en-GB"/>
              </w:rPr>
            </w:pPr>
            <w:r w:rsidRPr="00EA2F7B">
              <w:rPr>
                <w:rFonts w:cstheme="minorHAnsi"/>
                <w:sz w:val="20"/>
                <w:szCs w:val="20"/>
                <w:lang w:val="en-GB"/>
              </w:rPr>
              <w:t xml:space="preserve">Early onset Type 2 diabetes (EOT2D) is defined as the development of Type 2 diabetes below the age of 40 years. It is more common in people from ethnic minorities (particularity in people with South Asian ethnicity) and people living in the most socio-economically deprived areas. A high proportion of people with EOT2D are living with obesity and may also have concurrent unmet psychological and social needs. </w:t>
            </w:r>
          </w:p>
          <w:p w:rsidRPr="00EA2F7B" w:rsidR="006D3654" w:rsidP="00EA2F7B" w:rsidRDefault="006D3654" w14:paraId="0FE8FBA6" w14:textId="77777777">
            <w:pPr>
              <w:widowControl/>
              <w:jc w:val="both"/>
              <w:rPr>
                <w:rFonts w:cstheme="minorHAnsi"/>
                <w:sz w:val="20"/>
                <w:szCs w:val="20"/>
                <w:lang w:val="en-GB"/>
              </w:rPr>
            </w:pPr>
          </w:p>
          <w:p w:rsidR="00EA2F7B" w:rsidP="00EA2F7B" w:rsidRDefault="00EA2F7B" w14:paraId="79AF500C" w14:textId="0B7BCBB1">
            <w:pPr>
              <w:widowControl/>
              <w:jc w:val="both"/>
              <w:rPr>
                <w:rFonts w:cstheme="minorHAnsi"/>
                <w:sz w:val="20"/>
                <w:szCs w:val="20"/>
                <w:lang w:val="en-GB"/>
              </w:rPr>
            </w:pPr>
            <w:r w:rsidRPr="00EA2F7B">
              <w:rPr>
                <w:rFonts w:cstheme="minorHAnsi"/>
                <w:sz w:val="20"/>
                <w:szCs w:val="20"/>
                <w:lang w:val="en-GB"/>
              </w:rPr>
              <w:t>The National Diabetes Audit (NDA) shows that prevalence is increasing yearly, with 137,260 people with Type 2 diabetes aged 18-39 in England in the latest report (21/22)</w:t>
            </w:r>
            <w:r w:rsidR="006D3654">
              <w:rPr>
                <w:rFonts w:cstheme="minorHAnsi"/>
                <w:sz w:val="20"/>
                <w:szCs w:val="20"/>
                <w:lang w:val="en-GB"/>
              </w:rPr>
              <w:t xml:space="preserve">. In North West London specifically, there are approximately 8235 people </w:t>
            </w:r>
            <w:r w:rsidRPr="00EA2F7B">
              <w:rPr>
                <w:rFonts w:cstheme="minorHAnsi"/>
                <w:sz w:val="20"/>
                <w:szCs w:val="20"/>
                <w:lang w:val="en-GB"/>
              </w:rPr>
              <w:t>with EOT2</w:t>
            </w:r>
            <w:r w:rsidR="006D3654">
              <w:rPr>
                <w:rFonts w:cstheme="minorHAnsi"/>
                <w:sz w:val="20"/>
                <w:szCs w:val="20"/>
                <w:lang w:val="en-GB"/>
              </w:rPr>
              <w:t>D</w:t>
            </w:r>
            <w:r w:rsidRPr="00EA2F7B">
              <w:rPr>
                <w:rFonts w:cstheme="minorHAnsi"/>
                <w:sz w:val="20"/>
                <w:szCs w:val="20"/>
                <w:lang w:val="en-GB"/>
              </w:rPr>
              <w:t>, the majority of whom are cared for exclusively in General Practice, with an average of ~</w:t>
            </w:r>
            <w:r w:rsidR="005E4B55">
              <w:rPr>
                <w:rFonts w:cstheme="minorHAnsi"/>
                <w:sz w:val="20"/>
                <w:szCs w:val="20"/>
                <w:lang w:val="en-GB"/>
              </w:rPr>
              <w:t>180</w:t>
            </w:r>
            <w:r w:rsidRPr="00EA2F7B">
              <w:rPr>
                <w:rFonts w:cstheme="minorHAnsi"/>
                <w:sz w:val="20"/>
                <w:szCs w:val="20"/>
                <w:lang w:val="en-GB"/>
              </w:rPr>
              <w:t xml:space="preserve"> adults with EOT2D </w:t>
            </w:r>
            <w:r w:rsidR="005E4B55">
              <w:rPr>
                <w:rFonts w:cstheme="minorHAnsi"/>
                <w:sz w:val="20"/>
                <w:szCs w:val="20"/>
                <w:lang w:val="en-GB"/>
              </w:rPr>
              <w:t>per Primary Care Network (PCN)</w:t>
            </w:r>
            <w:r w:rsidRPr="00EA2F7B">
              <w:rPr>
                <w:rFonts w:cstheme="minorHAnsi"/>
                <w:sz w:val="20"/>
                <w:szCs w:val="20"/>
                <w:lang w:val="en-GB"/>
              </w:rPr>
              <w:t xml:space="preserve">. </w:t>
            </w:r>
          </w:p>
          <w:p w:rsidRPr="00EA2F7B" w:rsidR="00DE00FC" w:rsidP="00EA2F7B" w:rsidRDefault="00DE00FC" w14:paraId="096E37D2" w14:textId="77777777">
            <w:pPr>
              <w:widowControl/>
              <w:jc w:val="both"/>
              <w:rPr>
                <w:rFonts w:cstheme="minorHAnsi"/>
                <w:sz w:val="20"/>
                <w:szCs w:val="20"/>
                <w:lang w:val="en-GB"/>
              </w:rPr>
            </w:pPr>
          </w:p>
          <w:p w:rsidR="00EA2F7B" w:rsidP="00EA2F7B" w:rsidRDefault="00EA2F7B" w14:paraId="559ECCC0" w14:textId="203F7067">
            <w:pPr>
              <w:widowControl/>
              <w:jc w:val="both"/>
              <w:rPr>
                <w:rFonts w:cstheme="minorHAnsi"/>
                <w:sz w:val="20"/>
                <w:szCs w:val="20"/>
                <w:lang w:val="en-GB"/>
              </w:rPr>
            </w:pPr>
            <w:r w:rsidRPr="00EA2F7B">
              <w:rPr>
                <w:rFonts w:cstheme="minorHAnsi"/>
                <w:sz w:val="20"/>
                <w:szCs w:val="20"/>
                <w:lang w:val="en-GB"/>
              </w:rPr>
              <w:t>EOT2D is associated with a more aggressive diabetes phenotype than older-onset Type 2 diabetes, including more rapid progression of glycaemia and early development of complications with significant reduction in life expectancy. Despite this, people with EOT2D are less likely to receive all NICE-recommended care processes and tend to have higher HbA1c than older people with Type 2 diabetes1</w:t>
            </w:r>
            <w:r w:rsidR="00524E02">
              <w:rPr>
                <w:rStyle w:val="FootnoteReference"/>
                <w:rFonts w:cstheme="minorHAnsi"/>
                <w:sz w:val="20"/>
                <w:szCs w:val="20"/>
                <w:lang w:val="en-GB"/>
              </w:rPr>
              <w:footnoteReference w:id="2"/>
            </w:r>
            <w:r w:rsidRPr="00EA2F7B">
              <w:rPr>
                <w:rFonts w:cstheme="minorHAnsi"/>
                <w:sz w:val="20"/>
                <w:szCs w:val="20"/>
                <w:lang w:val="en-GB"/>
              </w:rPr>
              <w:t xml:space="preserve">. </w:t>
            </w:r>
          </w:p>
          <w:p w:rsidRPr="00EA2F7B" w:rsidR="00DE00FC" w:rsidP="00EA2F7B" w:rsidRDefault="00DE00FC" w14:paraId="5582D87B" w14:textId="77777777">
            <w:pPr>
              <w:widowControl/>
              <w:jc w:val="both"/>
              <w:rPr>
                <w:rFonts w:cstheme="minorHAnsi"/>
                <w:sz w:val="20"/>
                <w:szCs w:val="20"/>
                <w:lang w:val="en-GB"/>
              </w:rPr>
            </w:pPr>
          </w:p>
          <w:p w:rsidR="00EA2F7B" w:rsidP="00EA2F7B" w:rsidRDefault="00EA2F7B" w14:paraId="18FEC110" w14:textId="352EBF74">
            <w:pPr>
              <w:widowControl/>
              <w:jc w:val="both"/>
              <w:rPr>
                <w:rFonts w:cstheme="minorHAnsi"/>
                <w:sz w:val="20"/>
                <w:szCs w:val="20"/>
                <w:lang w:val="en-GB"/>
              </w:rPr>
            </w:pPr>
            <w:r w:rsidRPr="00EA2F7B">
              <w:rPr>
                <w:rFonts w:cstheme="minorHAnsi"/>
                <w:sz w:val="20"/>
                <w:szCs w:val="20"/>
                <w:lang w:val="en-GB"/>
              </w:rPr>
              <w:t>54% of pregnancies in people with diabetes in 2020 related to those affected by Type 2 diabetes, representing a doubling in proportion since 2002. Attaining HbA1c &lt; 48 mmol/mol is associated with better neonatal outcomes; however, in 2020 only 11% of women with Type 2 diabetes who became pregnant had evidence of adequate preparation for pregnancy</w:t>
            </w:r>
            <w:r w:rsidR="004D247D">
              <w:rPr>
                <w:rStyle w:val="FootnoteReference"/>
                <w:rFonts w:cstheme="minorHAnsi"/>
                <w:sz w:val="20"/>
                <w:szCs w:val="20"/>
                <w:lang w:val="en-GB"/>
              </w:rPr>
              <w:footnoteReference w:id="3"/>
            </w:r>
            <w:r w:rsidRPr="00EA2F7B">
              <w:rPr>
                <w:rFonts w:cstheme="minorHAnsi"/>
                <w:sz w:val="20"/>
                <w:szCs w:val="20"/>
                <w:lang w:val="en-GB"/>
              </w:rPr>
              <w:t>, reducing to only 6% of those living in the most deprived areas</w:t>
            </w:r>
            <w:r w:rsidR="00F30D29">
              <w:rPr>
                <w:rStyle w:val="FootnoteReference"/>
                <w:rFonts w:cstheme="minorHAnsi"/>
                <w:sz w:val="20"/>
                <w:szCs w:val="20"/>
                <w:lang w:val="en-GB"/>
              </w:rPr>
              <w:footnoteReference w:id="4"/>
            </w:r>
            <w:r w:rsidRPr="00EA2F7B">
              <w:rPr>
                <w:rFonts w:cstheme="minorHAnsi"/>
                <w:sz w:val="20"/>
                <w:szCs w:val="20"/>
                <w:lang w:val="en-GB"/>
              </w:rPr>
              <w:t xml:space="preserve">. </w:t>
            </w:r>
          </w:p>
          <w:p w:rsidRPr="00EA2F7B" w:rsidR="00DE00FC" w:rsidP="00EA2F7B" w:rsidRDefault="00DE00FC" w14:paraId="00DD1549" w14:textId="77777777">
            <w:pPr>
              <w:widowControl/>
              <w:jc w:val="both"/>
              <w:rPr>
                <w:rFonts w:cstheme="minorHAnsi"/>
                <w:sz w:val="20"/>
                <w:szCs w:val="20"/>
                <w:lang w:val="en-GB"/>
              </w:rPr>
            </w:pPr>
          </w:p>
          <w:p w:rsidR="002A2209" w:rsidP="002E11CA" w:rsidRDefault="00EA2F7B" w14:paraId="6152789F" w14:textId="7D364344">
            <w:pPr>
              <w:widowControl/>
              <w:jc w:val="both"/>
              <w:rPr>
                <w:rFonts w:cstheme="minorHAnsi"/>
                <w:sz w:val="20"/>
                <w:szCs w:val="20"/>
                <w:lang w:val="en-GB"/>
              </w:rPr>
            </w:pPr>
            <w:r w:rsidRPr="00EA2F7B">
              <w:rPr>
                <w:rFonts w:cstheme="minorHAnsi"/>
                <w:sz w:val="20"/>
                <w:szCs w:val="20"/>
                <w:lang w:val="en-GB"/>
              </w:rPr>
              <w:t xml:space="preserve">National funding is being made available to all ICBs for the T2Day: Type 2 Diabetes in the Young Programme, a 2-year initiative (for 23/24 and 24/25) aiming to improve care for people with EOT2D. </w:t>
            </w:r>
          </w:p>
          <w:p w:rsidR="00F83973" w:rsidP="002E11CA" w:rsidRDefault="00F83973" w14:paraId="1D8E64EC" w14:textId="77777777">
            <w:pPr>
              <w:widowControl/>
              <w:jc w:val="both"/>
              <w:rPr>
                <w:rFonts w:cstheme="minorHAnsi"/>
                <w:sz w:val="20"/>
                <w:szCs w:val="20"/>
                <w:lang w:val="en-GB"/>
              </w:rPr>
            </w:pPr>
          </w:p>
          <w:p w:rsidR="00F83973" w:rsidP="002E11CA" w:rsidRDefault="00F83973" w14:paraId="0ED6F89C" w14:textId="74708B82">
            <w:pPr>
              <w:widowControl/>
              <w:jc w:val="both"/>
              <w:rPr>
                <w:rFonts w:cstheme="minorHAnsi"/>
                <w:sz w:val="20"/>
                <w:szCs w:val="20"/>
                <w:lang w:val="en-GB"/>
              </w:rPr>
            </w:pPr>
            <w:r>
              <w:rPr>
                <w:rFonts w:cstheme="minorHAnsi"/>
                <w:sz w:val="20"/>
                <w:szCs w:val="20"/>
                <w:lang w:val="en-GB"/>
              </w:rPr>
              <w:t xml:space="preserve">In North West London, the aim is to integrate the Early Onset Type 2 </w:t>
            </w:r>
            <w:r w:rsidR="0061120F">
              <w:rPr>
                <w:rFonts w:cstheme="minorHAnsi"/>
                <w:sz w:val="20"/>
                <w:szCs w:val="20"/>
                <w:lang w:val="en-GB"/>
              </w:rPr>
              <w:t>Service within the MDT Level 2 Service Specification in April 2024, once the MDT Level 2 Service is rolled out universally to all PCNs</w:t>
            </w:r>
            <w:r w:rsidR="00073E79">
              <w:rPr>
                <w:rFonts w:cstheme="minorHAnsi"/>
                <w:sz w:val="20"/>
                <w:szCs w:val="20"/>
                <w:lang w:val="en-GB"/>
              </w:rPr>
              <w:t>.</w:t>
            </w:r>
          </w:p>
          <w:p w:rsidRPr="00AE4437" w:rsidR="006D6984" w:rsidP="002E11CA" w:rsidRDefault="006D6984" w14:paraId="42DB283A" w14:textId="77777777">
            <w:pPr>
              <w:widowControl/>
              <w:jc w:val="both"/>
              <w:rPr>
                <w:rFonts w:cstheme="minorHAnsi"/>
                <w:sz w:val="20"/>
                <w:szCs w:val="20"/>
                <w:lang w:val="en-GB"/>
              </w:rPr>
            </w:pPr>
          </w:p>
        </w:tc>
      </w:tr>
      <w:tr w:rsidRPr="00AE4437" w:rsidR="00BD741A" w:rsidTr="0BC45666" w14:paraId="7897C47F" w14:textId="77777777">
        <w:tc>
          <w:tcPr>
            <w:tcW w:w="10455" w:type="dxa"/>
            <w:shd w:val="clear" w:color="auto" w:fill="2F5496" w:themeFill="accent5" w:themeFillShade="BF"/>
            <w:tcMar/>
            <w:vAlign w:val="center"/>
          </w:tcPr>
          <w:p w:rsidRPr="00AE4437" w:rsidR="00BD741A" w:rsidP="00CB778D" w:rsidRDefault="00BD741A" w14:paraId="46BA6A96" w14:textId="77777777">
            <w:pPr>
              <w:pStyle w:val="TableParagraph"/>
              <w:numPr>
                <w:ilvl w:val="0"/>
                <w:numId w:val="12"/>
              </w:numPr>
              <w:ind w:left="316" w:hanging="316"/>
              <w:rPr>
                <w:rFonts w:cstheme="minorHAnsi"/>
                <w:sz w:val="20"/>
                <w:szCs w:val="20"/>
              </w:rPr>
            </w:pPr>
            <w:r>
              <w:rPr>
                <w:rFonts w:cstheme="minorHAnsi"/>
                <w:b/>
                <w:color w:val="FFFFFF" w:themeColor="background1"/>
                <w:spacing w:val="-1"/>
                <w:sz w:val="20"/>
                <w:szCs w:val="20"/>
              </w:rPr>
              <w:t>Aims and objectives of service</w:t>
            </w:r>
          </w:p>
        </w:tc>
      </w:tr>
      <w:tr w:rsidRPr="00AE4437" w:rsidR="00BD741A" w:rsidTr="0BC45666" w14:paraId="0035E8F0" w14:textId="77777777">
        <w:tc>
          <w:tcPr>
            <w:tcW w:w="10455" w:type="dxa"/>
            <w:shd w:val="clear" w:color="auto" w:fill="FFFFFF" w:themeFill="background1"/>
            <w:tcMar/>
            <w:vAlign w:val="center"/>
          </w:tcPr>
          <w:p w:rsidRPr="00EA2F7B" w:rsidR="00BE67BE" w:rsidP="00BE67BE" w:rsidRDefault="00BE67BE" w14:paraId="087D58B0" w14:textId="77777777">
            <w:pPr>
              <w:widowControl/>
              <w:jc w:val="both"/>
              <w:rPr>
                <w:rFonts w:cstheme="minorHAnsi"/>
                <w:sz w:val="20"/>
                <w:szCs w:val="20"/>
                <w:lang w:val="en-GB"/>
              </w:rPr>
            </w:pPr>
            <w:r w:rsidRPr="00EA2F7B">
              <w:rPr>
                <w:rFonts w:cstheme="minorHAnsi"/>
                <w:sz w:val="20"/>
                <w:szCs w:val="20"/>
                <w:lang w:val="en-GB"/>
              </w:rPr>
              <w:t xml:space="preserve">1.) to work with people with EOT2D to provide high quality care and optimise glycaemia, cardiovascular risk and weight, aiming to reduce long-term complications and morbidity </w:t>
            </w:r>
          </w:p>
          <w:p w:rsidRPr="00EA2F7B" w:rsidR="00BE67BE" w:rsidP="00BE67BE" w:rsidRDefault="00BE67BE" w14:paraId="4BC00A37" w14:textId="77777777">
            <w:pPr>
              <w:widowControl/>
              <w:jc w:val="both"/>
              <w:rPr>
                <w:rFonts w:cstheme="minorHAnsi"/>
                <w:sz w:val="20"/>
                <w:szCs w:val="20"/>
                <w:lang w:val="en-GB"/>
              </w:rPr>
            </w:pPr>
            <w:r w:rsidRPr="00EA2F7B">
              <w:rPr>
                <w:rFonts w:cstheme="minorHAnsi"/>
                <w:sz w:val="20"/>
                <w:szCs w:val="20"/>
                <w:lang w:val="en-GB"/>
              </w:rPr>
              <w:lastRenderedPageBreak/>
              <w:t>2.) to support better preparation for pregnancy in women</w:t>
            </w:r>
            <w:r>
              <w:rPr>
                <w:rStyle w:val="FootnoteReference"/>
                <w:rFonts w:cstheme="minorHAnsi"/>
                <w:sz w:val="20"/>
                <w:szCs w:val="20"/>
                <w:lang w:val="en-GB"/>
              </w:rPr>
              <w:footnoteReference w:id="5"/>
            </w:r>
            <w:r w:rsidRPr="00EA2F7B">
              <w:rPr>
                <w:rFonts w:cstheme="minorHAnsi"/>
                <w:sz w:val="20"/>
                <w:szCs w:val="20"/>
                <w:lang w:val="en-GB"/>
              </w:rPr>
              <w:t xml:space="preserve"> with Type 2 diabetes, including supporting access to contraception for those not trying for pregnancy </w:t>
            </w:r>
          </w:p>
          <w:p w:rsidRPr="00B0214E" w:rsidR="003E4E90" w:rsidP="00B0214E" w:rsidRDefault="00BE67BE" w14:paraId="4F46A4E2" w14:textId="5B94C411">
            <w:pPr>
              <w:widowControl/>
              <w:jc w:val="both"/>
              <w:rPr>
                <w:rFonts w:cstheme="minorHAnsi"/>
                <w:sz w:val="20"/>
                <w:szCs w:val="20"/>
                <w:lang w:val="en-GB"/>
              </w:rPr>
            </w:pPr>
            <w:r w:rsidRPr="00EA2F7B">
              <w:rPr>
                <w:rFonts w:cstheme="minorHAnsi"/>
                <w:sz w:val="20"/>
                <w:szCs w:val="20"/>
                <w:lang w:val="en-GB"/>
              </w:rPr>
              <w:t xml:space="preserve">3.) to help address unmet psychological and social needs and support overall wellbeing </w:t>
            </w:r>
          </w:p>
          <w:p w:rsidRPr="009221B8" w:rsidR="009221B8" w:rsidP="009221B8" w:rsidRDefault="009221B8" w14:paraId="30AD3779" w14:textId="5FEAB118">
            <w:pPr>
              <w:jc w:val="both"/>
              <w:rPr>
                <w:rFonts w:cstheme="minorHAnsi"/>
                <w:sz w:val="20"/>
                <w:szCs w:val="20"/>
              </w:rPr>
            </w:pPr>
          </w:p>
        </w:tc>
      </w:tr>
      <w:tr w:rsidRPr="00AE4437" w:rsidR="00BD741A" w:rsidTr="0BC45666" w14:paraId="44B96946" w14:textId="77777777">
        <w:tc>
          <w:tcPr>
            <w:tcW w:w="10455" w:type="dxa"/>
            <w:shd w:val="clear" w:color="auto" w:fill="2F5496" w:themeFill="accent5" w:themeFillShade="BF"/>
            <w:tcMar/>
            <w:vAlign w:val="center"/>
          </w:tcPr>
          <w:p w:rsidRPr="00484890" w:rsidR="00BD741A" w:rsidP="00CB778D" w:rsidRDefault="00BD741A" w14:paraId="2F35F9B5" w14:textId="77777777">
            <w:pPr>
              <w:pStyle w:val="TableParagraph"/>
              <w:numPr>
                <w:ilvl w:val="0"/>
                <w:numId w:val="12"/>
              </w:numPr>
              <w:ind w:left="316" w:hanging="316"/>
              <w:jc w:val="both"/>
              <w:rPr>
                <w:rFonts w:cstheme="minorHAnsi"/>
                <w:sz w:val="20"/>
                <w:szCs w:val="20"/>
              </w:rPr>
            </w:pPr>
            <w:r w:rsidRPr="00484890">
              <w:rPr>
                <w:rFonts w:cstheme="minorHAnsi"/>
                <w:b/>
                <w:color w:val="FFFFFF" w:themeColor="background1"/>
                <w:spacing w:val="-1"/>
                <w:sz w:val="20"/>
                <w:szCs w:val="20"/>
              </w:rPr>
              <w:lastRenderedPageBreak/>
              <w:t>Service Description/Care Pathway</w:t>
            </w:r>
          </w:p>
        </w:tc>
      </w:tr>
      <w:tr w:rsidRPr="00AE4437" w:rsidR="00BD741A" w:rsidTr="0BC45666" w14:paraId="74BD707D" w14:textId="77777777">
        <w:tc>
          <w:tcPr>
            <w:tcW w:w="10455" w:type="dxa"/>
            <w:shd w:val="clear" w:color="auto" w:fill="FFFFFF" w:themeFill="background1"/>
            <w:tcMar/>
          </w:tcPr>
          <w:p w:rsidR="00151DC8" w:rsidP="002E11CA" w:rsidRDefault="00151DC8" w14:paraId="0643BA18" w14:textId="77777777">
            <w:pPr>
              <w:jc w:val="both"/>
              <w:rPr>
                <w:rFonts w:cstheme="minorHAnsi"/>
                <w:sz w:val="20"/>
                <w:szCs w:val="20"/>
                <w:lang w:val="en-GB"/>
              </w:rPr>
            </w:pPr>
          </w:p>
          <w:p w:rsidR="00BD741A" w:rsidP="002E11CA" w:rsidRDefault="00BD741A" w14:paraId="18088676" w14:textId="4F781DAD">
            <w:pPr>
              <w:jc w:val="both"/>
              <w:rPr>
                <w:rFonts w:cstheme="minorHAnsi"/>
                <w:sz w:val="20"/>
                <w:szCs w:val="20"/>
                <w:lang w:val="en-GB"/>
              </w:rPr>
            </w:pPr>
            <w:r w:rsidRPr="00484890">
              <w:rPr>
                <w:rFonts w:cstheme="minorHAnsi"/>
                <w:sz w:val="20"/>
                <w:szCs w:val="20"/>
                <w:lang w:val="en-GB"/>
              </w:rPr>
              <w:t xml:space="preserve">This </w:t>
            </w:r>
            <w:r w:rsidR="005559BC">
              <w:rPr>
                <w:rFonts w:cstheme="minorHAnsi"/>
                <w:sz w:val="20"/>
                <w:szCs w:val="20"/>
                <w:lang w:val="en-GB"/>
              </w:rPr>
              <w:t>Early Onset Type 2 Diabetes servi</w:t>
            </w:r>
            <w:r w:rsidR="00EC3BB2">
              <w:rPr>
                <w:rFonts w:cstheme="minorHAnsi"/>
                <w:sz w:val="20"/>
                <w:szCs w:val="20"/>
                <w:lang w:val="en-GB"/>
              </w:rPr>
              <w:t>ce specification</w:t>
            </w:r>
            <w:r w:rsidRPr="00484890">
              <w:rPr>
                <w:rFonts w:cstheme="minorHAnsi"/>
                <w:sz w:val="20"/>
                <w:szCs w:val="20"/>
                <w:lang w:val="en-GB"/>
              </w:rPr>
              <w:t xml:space="preserve"> fits within a wider pathway for people living with diabetes, which operates to allow people to move between levels seamlessly and as their needs dictate and where more experienced clinicians are required to manage their care.</w:t>
            </w:r>
          </w:p>
          <w:p w:rsidRPr="00B21C60" w:rsidR="00BD741A" w:rsidP="002E11CA" w:rsidRDefault="00BD741A" w14:paraId="1A1B2327" w14:textId="77777777">
            <w:pPr>
              <w:jc w:val="both"/>
              <w:rPr>
                <w:rFonts w:cstheme="minorHAnsi"/>
                <w:sz w:val="12"/>
                <w:szCs w:val="12"/>
                <w:lang w:val="en-GB"/>
              </w:rPr>
            </w:pPr>
          </w:p>
          <w:p w:rsidRPr="003714A6" w:rsidR="00BD741A" w:rsidP="00CB778D" w:rsidRDefault="00BD741A" w14:paraId="1E20512F" w14:textId="77777777">
            <w:pPr>
              <w:pStyle w:val="ListParagraph"/>
              <w:numPr>
                <w:ilvl w:val="0"/>
                <w:numId w:val="15"/>
              </w:numPr>
              <w:spacing w:line="240" w:lineRule="auto"/>
              <w:contextualSpacing w:val="0"/>
              <w:jc w:val="both"/>
              <w:rPr>
                <w:rFonts w:cstheme="minorHAnsi"/>
                <w:sz w:val="16"/>
                <w:szCs w:val="16"/>
              </w:rPr>
            </w:pPr>
            <w:r w:rsidRPr="003714A6">
              <w:rPr>
                <w:rFonts w:cstheme="minorHAnsi"/>
                <w:b/>
                <w:sz w:val="16"/>
                <w:szCs w:val="16"/>
              </w:rPr>
              <w:t>Non Diabetic Hyperglycaemia (NDH):</w:t>
            </w:r>
            <w:r w:rsidRPr="003714A6">
              <w:rPr>
                <w:rFonts w:cstheme="minorHAnsi"/>
                <w:sz w:val="16"/>
                <w:szCs w:val="16"/>
              </w:rPr>
              <w:t xml:space="preserve"> This largely primary care service will be responsible for proactive identification of NDH and referral into nationally commissioned NHS Diabetes Prevention Programme to support the prevention of Type 2 Diabetes.</w:t>
            </w:r>
          </w:p>
          <w:p w:rsidRPr="003714A6" w:rsidR="00BD741A" w:rsidP="00CB778D" w:rsidRDefault="00BD741A" w14:paraId="58D72C86" w14:textId="77777777">
            <w:pPr>
              <w:pStyle w:val="ListParagraph"/>
              <w:numPr>
                <w:ilvl w:val="0"/>
                <w:numId w:val="15"/>
              </w:numPr>
              <w:spacing w:line="240" w:lineRule="auto"/>
              <w:contextualSpacing w:val="0"/>
              <w:jc w:val="both"/>
              <w:rPr>
                <w:rFonts w:cstheme="minorHAnsi"/>
                <w:sz w:val="16"/>
                <w:szCs w:val="16"/>
              </w:rPr>
            </w:pPr>
            <w:r w:rsidRPr="003714A6">
              <w:rPr>
                <w:rFonts w:cstheme="minorHAnsi"/>
                <w:b/>
                <w:sz w:val="16"/>
                <w:szCs w:val="16"/>
              </w:rPr>
              <w:t>Diabetes (Level 1):</w:t>
            </w:r>
            <w:r w:rsidRPr="003714A6">
              <w:rPr>
                <w:rFonts w:cstheme="minorHAnsi"/>
                <w:sz w:val="16"/>
                <w:szCs w:val="16"/>
              </w:rPr>
              <w:t xml:space="preserve"> The primary care service at Level 1 will have primary responsibility for the person with Type 2 Diabetes</w:t>
            </w:r>
          </w:p>
          <w:p w:rsidRPr="003714A6" w:rsidR="00BD741A" w:rsidP="000430C2" w:rsidRDefault="00BD741A" w14:paraId="51D3F036" w14:textId="521CBCF9">
            <w:pPr>
              <w:pStyle w:val="ListParagraph"/>
              <w:numPr>
                <w:ilvl w:val="0"/>
                <w:numId w:val="15"/>
              </w:numPr>
              <w:spacing w:line="240" w:lineRule="auto"/>
              <w:jc w:val="both"/>
              <w:rPr>
                <w:sz w:val="16"/>
                <w:szCs w:val="16"/>
              </w:rPr>
            </w:pPr>
            <w:r w:rsidRPr="003714A6">
              <w:rPr>
                <w:b/>
                <w:sz w:val="16"/>
                <w:szCs w:val="16"/>
              </w:rPr>
              <w:t>Diabetes (</w:t>
            </w:r>
            <w:r w:rsidRPr="003714A6" w:rsidR="005A7B5F">
              <w:rPr>
                <w:b/>
                <w:sz w:val="16"/>
                <w:szCs w:val="16"/>
              </w:rPr>
              <w:t xml:space="preserve">MDT </w:t>
            </w:r>
            <w:r w:rsidRPr="003714A6">
              <w:rPr>
                <w:b/>
                <w:sz w:val="16"/>
                <w:szCs w:val="16"/>
              </w:rPr>
              <w:t xml:space="preserve">Level 2): </w:t>
            </w:r>
            <w:r w:rsidRPr="003714A6">
              <w:rPr>
                <w:sz w:val="16"/>
                <w:szCs w:val="16"/>
              </w:rPr>
              <w:t xml:space="preserve">The </w:t>
            </w:r>
            <w:r w:rsidRPr="003714A6" w:rsidR="005559BC">
              <w:rPr>
                <w:sz w:val="16"/>
                <w:szCs w:val="16"/>
              </w:rPr>
              <w:t xml:space="preserve">MDT </w:t>
            </w:r>
            <w:r w:rsidRPr="003714A6">
              <w:rPr>
                <w:sz w:val="16"/>
                <w:szCs w:val="16"/>
              </w:rPr>
              <w:t xml:space="preserve">level 2 service </w:t>
            </w:r>
            <w:r w:rsidRPr="003714A6" w:rsidR="00092526">
              <w:rPr>
                <w:sz w:val="16"/>
                <w:szCs w:val="16"/>
              </w:rPr>
              <w:t xml:space="preserve">is </w:t>
            </w:r>
            <w:r w:rsidRPr="003714A6" w:rsidR="00DA6AF0">
              <w:rPr>
                <w:sz w:val="16"/>
                <w:szCs w:val="16"/>
              </w:rPr>
              <w:t xml:space="preserve">a </w:t>
            </w:r>
            <w:r w:rsidRPr="003714A6" w:rsidR="002A0128">
              <w:rPr>
                <w:sz w:val="16"/>
                <w:szCs w:val="16"/>
              </w:rPr>
              <w:t>PCN/INT-</w:t>
            </w:r>
            <w:r w:rsidRPr="003714A6" w:rsidR="00DA6AF0">
              <w:rPr>
                <w:sz w:val="16"/>
                <w:szCs w:val="16"/>
              </w:rPr>
              <w:t xml:space="preserve">based service which integrates level 1 primary care services and </w:t>
            </w:r>
            <w:r w:rsidRPr="003714A6" w:rsidR="001F0BFF">
              <w:rPr>
                <w:sz w:val="16"/>
                <w:szCs w:val="16"/>
              </w:rPr>
              <w:t>specialist support</w:t>
            </w:r>
            <w:r w:rsidRPr="003714A6" w:rsidR="003F60EE">
              <w:rPr>
                <w:sz w:val="16"/>
                <w:szCs w:val="16"/>
              </w:rPr>
              <w:t xml:space="preserve"> and uses methodologies including an MDT approach to optimise patient care</w:t>
            </w:r>
            <w:r w:rsidRPr="003714A6" w:rsidR="001F0BFF">
              <w:rPr>
                <w:sz w:val="16"/>
                <w:szCs w:val="16"/>
              </w:rPr>
              <w:t>.</w:t>
            </w:r>
            <w:r w:rsidRPr="003714A6" w:rsidR="000430C2">
              <w:rPr>
                <w:sz w:val="16"/>
                <w:szCs w:val="16"/>
              </w:rPr>
              <w:t xml:space="preserve"> The objectives of the MDT include to integrate complex decision making inter-professionally and bring levels 2,3 and 4 together rapidly, </w:t>
            </w:r>
            <w:r w:rsidRPr="003714A6" w:rsidR="001B0AD3">
              <w:rPr>
                <w:sz w:val="16"/>
                <w:szCs w:val="16"/>
              </w:rPr>
              <w:t xml:space="preserve">improving patient outcomes and </w:t>
            </w:r>
            <w:r w:rsidRPr="003714A6" w:rsidR="000430C2">
              <w:rPr>
                <w:sz w:val="16"/>
                <w:szCs w:val="16"/>
              </w:rPr>
              <w:t xml:space="preserve">reducing </w:t>
            </w:r>
            <w:r w:rsidRPr="003714A6" w:rsidR="001B0AD3">
              <w:rPr>
                <w:sz w:val="16"/>
                <w:szCs w:val="16"/>
              </w:rPr>
              <w:t xml:space="preserve">the </w:t>
            </w:r>
            <w:r w:rsidRPr="003714A6" w:rsidR="000430C2">
              <w:rPr>
                <w:sz w:val="16"/>
                <w:szCs w:val="16"/>
              </w:rPr>
              <w:t>need for direct F</w:t>
            </w:r>
            <w:r w:rsidRPr="003714A6" w:rsidR="001B0AD3">
              <w:rPr>
                <w:sz w:val="16"/>
                <w:szCs w:val="16"/>
              </w:rPr>
              <w:t xml:space="preserve">2F </w:t>
            </w:r>
            <w:r w:rsidRPr="003714A6" w:rsidR="000430C2">
              <w:rPr>
                <w:sz w:val="16"/>
                <w:szCs w:val="16"/>
              </w:rPr>
              <w:t>Level 4 contact</w:t>
            </w:r>
            <w:r w:rsidRPr="003714A6" w:rsidR="00C848A0">
              <w:rPr>
                <w:sz w:val="16"/>
                <w:szCs w:val="16"/>
              </w:rPr>
              <w:t xml:space="preserve"> as well as to initiate </w:t>
            </w:r>
            <w:r w:rsidRPr="003714A6" w:rsidR="004B205E">
              <w:rPr>
                <w:sz w:val="16"/>
                <w:szCs w:val="16"/>
              </w:rPr>
              <w:t>insulin and GLP-1 agents.</w:t>
            </w:r>
            <w:r w:rsidRPr="003714A6" w:rsidR="00D62F05">
              <w:rPr>
                <w:sz w:val="16"/>
                <w:szCs w:val="16"/>
              </w:rPr>
              <w:t xml:space="preserve"> The MDT will also </w:t>
            </w:r>
            <w:r w:rsidRPr="003714A6" w:rsidR="00D65C33">
              <w:rPr>
                <w:sz w:val="16"/>
                <w:szCs w:val="16"/>
              </w:rPr>
              <w:t xml:space="preserve">integrate mental health and social prescribing </w:t>
            </w:r>
            <w:r w:rsidRPr="003714A6" w:rsidR="007D2ECD">
              <w:rPr>
                <w:sz w:val="16"/>
                <w:szCs w:val="16"/>
              </w:rPr>
              <w:t>input in order to help</w:t>
            </w:r>
            <w:r w:rsidRPr="003714A6" w:rsidR="00D62F05">
              <w:rPr>
                <w:sz w:val="16"/>
                <w:szCs w:val="16"/>
              </w:rPr>
              <w:t xml:space="preserve"> </w:t>
            </w:r>
            <w:r w:rsidRPr="003714A6" w:rsidR="00C3038E">
              <w:rPr>
                <w:sz w:val="16"/>
                <w:szCs w:val="16"/>
              </w:rPr>
              <w:t>direct the clinical team towards the most appropriate support pathways for patients with more complex mental health and social care needs</w:t>
            </w:r>
            <w:r w:rsidRPr="003714A6" w:rsidR="00D62F05">
              <w:rPr>
                <w:sz w:val="16"/>
                <w:szCs w:val="16"/>
              </w:rPr>
              <w:t>.</w:t>
            </w:r>
            <w:r w:rsidRPr="003714A6" w:rsidR="0067368F">
              <w:rPr>
                <w:sz w:val="16"/>
                <w:szCs w:val="16"/>
              </w:rPr>
              <w:t xml:space="preserve"> Lastly, the MDT Level 2 service will provide more intensive support for people with EOT2D.</w:t>
            </w:r>
          </w:p>
          <w:p w:rsidRPr="003714A6" w:rsidR="00BD741A" w:rsidP="5AFBD498" w:rsidRDefault="00BD741A" w14:paraId="4AB33829" w14:textId="77777777">
            <w:pPr>
              <w:pStyle w:val="ListParagraph"/>
              <w:numPr>
                <w:ilvl w:val="0"/>
                <w:numId w:val="15"/>
              </w:numPr>
              <w:spacing w:line="240" w:lineRule="auto"/>
              <w:jc w:val="both"/>
              <w:rPr>
                <w:sz w:val="16"/>
                <w:szCs w:val="16"/>
              </w:rPr>
            </w:pPr>
            <w:r w:rsidRPr="003714A6">
              <w:rPr>
                <w:b/>
                <w:sz w:val="16"/>
                <w:szCs w:val="16"/>
              </w:rPr>
              <w:t>Diabetes (Level 3):</w:t>
            </w:r>
            <w:r w:rsidRPr="003714A6">
              <w:rPr>
                <w:sz w:val="16"/>
                <w:szCs w:val="16"/>
              </w:rPr>
              <w:t xml:space="preserve"> The consultant-led community-based diabetes team acts as the link between generalist clinicians and specialists. Specialists who provide the Level 3 diabetes service should spend a proportion of their time leading, advising and facilitating the work of the primary care based Level 1 and Level 2 diabetes teams. Staff will fast-track people with diabetes safely back to primary care or to Level 4 (where clinically appropriate) and allow the Level 3, 2 and 1 teams to provide care closer to the patient’s home.</w:t>
            </w:r>
          </w:p>
          <w:p w:rsidRPr="003714A6" w:rsidR="00BD741A" w:rsidP="00CB778D" w:rsidRDefault="00BD741A" w14:paraId="587E4FFD" w14:textId="77777777">
            <w:pPr>
              <w:pStyle w:val="ListParagraph"/>
              <w:numPr>
                <w:ilvl w:val="0"/>
                <w:numId w:val="15"/>
              </w:numPr>
              <w:spacing w:line="240" w:lineRule="auto"/>
              <w:jc w:val="both"/>
              <w:rPr>
                <w:sz w:val="16"/>
                <w:szCs w:val="16"/>
              </w:rPr>
            </w:pPr>
            <w:r w:rsidRPr="003714A6">
              <w:rPr>
                <w:b/>
                <w:sz w:val="16"/>
                <w:szCs w:val="16"/>
              </w:rPr>
              <w:t>Diabetes (Level 4):</w:t>
            </w:r>
            <w:r w:rsidRPr="003714A6">
              <w:rPr>
                <w:sz w:val="16"/>
                <w:szCs w:val="16"/>
              </w:rPr>
              <w:t xml:space="preserve"> Specialist diabetes services have primary responsibility for those with Type 1 and rarer forms of diabetes. All people with Type 1 Diabetes and other forms of diabetes, such as monogenic diabetes e.g. maturity-onset diabetes of the young (MODY), mitochondrial diabetes, diabetes due to chronic pancreatitis or total pancreatectomy, should have access to specialist diabetes services including those commissioned by NHS England. Provision needs to be made in the community for people with Type 1 Diabetes who refuse to be seen in secondary care or on end of life pathways.</w:t>
            </w:r>
          </w:p>
          <w:p w:rsidR="002848AC" w:rsidP="002848AC" w:rsidRDefault="002848AC" w14:paraId="67F47FDE" w14:textId="77777777">
            <w:pPr>
              <w:jc w:val="both"/>
              <w:rPr>
                <w:sz w:val="20"/>
                <w:szCs w:val="20"/>
              </w:rPr>
            </w:pPr>
          </w:p>
          <w:p w:rsidRPr="002848AC" w:rsidR="002848AC" w:rsidP="002848AC" w:rsidRDefault="002848AC" w14:paraId="50F6A536" w14:textId="0721C1A9">
            <w:pPr>
              <w:jc w:val="both"/>
              <w:rPr>
                <w:sz w:val="20"/>
                <w:szCs w:val="20"/>
              </w:rPr>
            </w:pPr>
            <w:r>
              <w:rPr>
                <w:sz w:val="20"/>
                <w:szCs w:val="20"/>
              </w:rPr>
              <w:t>The ultimate aim is to integrate pathways and funding further</w:t>
            </w:r>
            <w:r w:rsidR="00231D1E">
              <w:rPr>
                <w:sz w:val="20"/>
                <w:szCs w:val="20"/>
              </w:rPr>
              <w:t xml:space="preserve">, particularly </w:t>
            </w:r>
            <w:r w:rsidR="003D1833">
              <w:rPr>
                <w:sz w:val="20"/>
                <w:szCs w:val="20"/>
              </w:rPr>
              <w:t>for</w:t>
            </w:r>
            <w:r w:rsidR="00EC771C">
              <w:rPr>
                <w:sz w:val="20"/>
                <w:szCs w:val="20"/>
              </w:rPr>
              <w:t xml:space="preserve"> level 2 and 3 services</w:t>
            </w:r>
            <w:r w:rsidR="003714A6">
              <w:rPr>
                <w:sz w:val="20"/>
                <w:szCs w:val="20"/>
              </w:rPr>
              <w:t>, in order to provide a more seamless experience for patients</w:t>
            </w:r>
            <w:r w:rsidR="00EC771C">
              <w:rPr>
                <w:sz w:val="20"/>
                <w:szCs w:val="20"/>
              </w:rPr>
              <w:t>.</w:t>
            </w:r>
            <w:r w:rsidR="00962538">
              <w:rPr>
                <w:sz w:val="20"/>
                <w:szCs w:val="20"/>
              </w:rPr>
              <w:t xml:space="preserve"> </w:t>
            </w:r>
          </w:p>
          <w:p w:rsidRPr="003C0748" w:rsidR="00BD741A" w:rsidP="002E11CA" w:rsidRDefault="00BD741A" w14:paraId="00CF879D" w14:textId="77777777">
            <w:pPr>
              <w:jc w:val="both"/>
              <w:rPr>
                <w:rFonts w:cstheme="minorHAnsi"/>
                <w:sz w:val="12"/>
                <w:szCs w:val="12"/>
              </w:rPr>
            </w:pPr>
          </w:p>
          <w:p w:rsidRPr="008860D2" w:rsidR="00BD741A" w:rsidP="002E11CA" w:rsidRDefault="00BD741A" w14:paraId="34923853" w14:textId="77777777">
            <w:pPr>
              <w:pStyle w:val="Heading3"/>
              <w:spacing w:before="0"/>
              <w:jc w:val="both"/>
              <w:rPr>
                <w:rFonts w:eastAsia="Cambria" w:asciiTheme="minorHAnsi" w:hAnsiTheme="minorHAnsi" w:cstheme="minorHAnsi"/>
                <w:color w:val="auto"/>
                <w:spacing w:val="-1"/>
                <w:sz w:val="12"/>
                <w:szCs w:val="12"/>
                <w:lang w:eastAsia="en-GB"/>
              </w:rPr>
            </w:pPr>
          </w:p>
          <w:tbl>
            <w:tblPr>
              <w:tblW w:w="0" w:type="auto"/>
              <w:tblLayout w:type="fixed"/>
              <w:tblLook w:val="04A0" w:firstRow="1" w:lastRow="0" w:firstColumn="1" w:lastColumn="0" w:noHBand="0" w:noVBand="1"/>
            </w:tblPr>
            <w:tblGrid>
              <w:gridCol w:w="10112"/>
            </w:tblGrid>
            <w:tr w:rsidRPr="008860D2" w:rsidR="00BD741A" w:rsidTr="00B1060D" w14:paraId="3553167A" w14:textId="77777777">
              <w:trPr>
                <w:trHeight w:val="1145"/>
              </w:trPr>
              <w:tc>
                <w:tcPr>
                  <w:tcW w:w="10112" w:type="dxa"/>
                  <w:shd w:val="clear" w:color="auto" w:fill="F7CAAC" w:themeFill="accent2" w:themeFillTint="66"/>
                  <w:vAlign w:val="center"/>
                </w:tcPr>
                <w:p w:rsidRPr="008860D2" w:rsidR="00BD741A" w:rsidP="002E11CA" w:rsidRDefault="00B1060D" w14:paraId="68879B06" w14:textId="277A9DCF">
                  <w:pPr>
                    <w:jc w:val="both"/>
                    <w:rPr>
                      <w:rFonts w:cstheme="minorHAnsi"/>
                      <w:sz w:val="20"/>
                      <w:szCs w:val="20"/>
                      <w:lang w:val="en-GB" w:eastAsia="en-GB"/>
                    </w:rPr>
                  </w:pPr>
                  <w:r w:rsidRPr="004F4D30">
                    <w:rPr>
                      <w:rFonts w:cstheme="minorHAnsi"/>
                      <w:b/>
                      <w:bCs/>
                      <w:i/>
                      <w:iCs/>
                      <w:sz w:val="20"/>
                      <w:szCs w:val="20"/>
                      <w:lang w:val="en-GB" w:eastAsia="en-GB"/>
                    </w:rPr>
                    <w:t xml:space="preserve">All </w:t>
                  </w:r>
                  <w:r>
                    <w:rPr>
                      <w:rFonts w:cstheme="minorHAnsi"/>
                      <w:b/>
                      <w:bCs/>
                      <w:i/>
                      <w:iCs/>
                      <w:sz w:val="20"/>
                      <w:szCs w:val="20"/>
                      <w:lang w:val="en-GB" w:eastAsia="en-GB"/>
                    </w:rPr>
                    <w:t>people</w:t>
                  </w:r>
                  <w:r w:rsidRPr="004F4D30">
                    <w:rPr>
                      <w:rFonts w:cstheme="minorHAnsi"/>
                      <w:b/>
                      <w:bCs/>
                      <w:i/>
                      <w:iCs/>
                      <w:sz w:val="20"/>
                      <w:szCs w:val="20"/>
                      <w:lang w:val="en-GB" w:eastAsia="en-GB"/>
                    </w:rPr>
                    <w:t xml:space="preserve"> with Type 2 diabetes </w:t>
                  </w:r>
                  <w:r>
                    <w:rPr>
                      <w:rFonts w:cstheme="minorHAnsi"/>
                      <w:b/>
                      <w:bCs/>
                      <w:i/>
                      <w:iCs/>
                      <w:sz w:val="20"/>
                      <w:szCs w:val="20"/>
                      <w:lang w:val="en-GB" w:eastAsia="en-GB"/>
                    </w:rPr>
                    <w:t xml:space="preserve">(particularly those with EOT2D) </w:t>
                  </w:r>
                  <w:r w:rsidRPr="004F4D30">
                    <w:rPr>
                      <w:rFonts w:cstheme="minorHAnsi"/>
                      <w:b/>
                      <w:bCs/>
                      <w:i/>
                      <w:iCs/>
                      <w:sz w:val="20"/>
                      <w:szCs w:val="20"/>
                      <w:lang w:val="en-GB" w:eastAsia="en-GB"/>
                    </w:rPr>
                    <w:t xml:space="preserve">should be offered, where appropriate, the opportunity to participate in a diabetes remission or intensive weight management support programme, whether through a low calorie total diet replacement (TDR) programme, through other </w:t>
                  </w:r>
                  <w:r>
                    <w:rPr>
                      <w:rFonts w:cstheme="minorHAnsi"/>
                      <w:b/>
                      <w:bCs/>
                      <w:i/>
                      <w:iCs/>
                      <w:sz w:val="20"/>
                      <w:szCs w:val="20"/>
                      <w:lang w:val="en-GB" w:eastAsia="en-GB"/>
                    </w:rPr>
                    <w:t>education programmes such as X-PERT</w:t>
                  </w:r>
                  <w:r w:rsidRPr="004F4D30">
                    <w:rPr>
                      <w:rFonts w:cstheme="minorHAnsi"/>
                      <w:b/>
                      <w:bCs/>
                      <w:i/>
                      <w:iCs/>
                      <w:sz w:val="20"/>
                      <w:szCs w:val="20"/>
                      <w:lang w:val="en-GB" w:eastAsia="en-GB"/>
                    </w:rPr>
                    <w:t>, or through bariatric surgery.</w:t>
                  </w:r>
                </w:p>
              </w:tc>
            </w:tr>
          </w:tbl>
          <w:p w:rsidRPr="008860D2" w:rsidR="00BD741A" w:rsidP="002E11CA" w:rsidRDefault="00BD741A" w14:paraId="4F9207A8" w14:textId="77777777">
            <w:pPr>
              <w:rPr>
                <w:sz w:val="12"/>
                <w:szCs w:val="12"/>
                <w:lang w:val="en-GB" w:eastAsia="en-GB"/>
              </w:rPr>
            </w:pPr>
          </w:p>
          <w:p w:rsidRPr="00484890" w:rsidR="00BD741A" w:rsidP="002E11CA" w:rsidRDefault="00BD741A" w14:paraId="303CA0DB" w14:textId="32023394">
            <w:pPr>
              <w:jc w:val="both"/>
              <w:rPr>
                <w:rFonts w:cstheme="minorHAnsi"/>
                <w:sz w:val="20"/>
                <w:szCs w:val="20"/>
                <w:lang w:val="en-GB" w:eastAsia="en-GB"/>
              </w:rPr>
            </w:pPr>
            <w:r w:rsidRPr="00484890">
              <w:rPr>
                <w:rFonts w:cstheme="minorHAnsi"/>
                <w:sz w:val="20"/>
                <w:szCs w:val="20"/>
                <w:lang w:val="en-GB" w:eastAsia="en-GB"/>
              </w:rPr>
              <w:t xml:space="preserve">People with diabetes (seen at any level) should have access to </w:t>
            </w:r>
            <w:r w:rsidR="000720A8">
              <w:rPr>
                <w:rFonts w:cstheme="minorHAnsi"/>
                <w:sz w:val="20"/>
                <w:szCs w:val="20"/>
                <w:lang w:val="en-GB" w:eastAsia="en-GB"/>
              </w:rPr>
              <w:t xml:space="preserve">the Know Diabetes Service, </w:t>
            </w:r>
            <w:r w:rsidRPr="00484890">
              <w:rPr>
                <w:rFonts w:cstheme="minorHAnsi"/>
                <w:sz w:val="20"/>
                <w:szCs w:val="20"/>
                <w:lang w:val="en-GB" w:eastAsia="en-GB"/>
              </w:rPr>
              <w:t>structured education, social prescribing and emotional and mental health support according to need, commissioned services available and choice.</w:t>
            </w:r>
          </w:p>
          <w:p w:rsidRPr="008860D2" w:rsidR="00BD741A" w:rsidP="002E11CA" w:rsidRDefault="00BD741A" w14:paraId="20F3CFD2" w14:textId="77777777">
            <w:pPr>
              <w:jc w:val="both"/>
              <w:rPr>
                <w:rFonts w:cstheme="minorHAnsi"/>
                <w:sz w:val="12"/>
                <w:szCs w:val="12"/>
                <w:lang w:val="en-GB" w:eastAsia="en-GB"/>
              </w:rPr>
            </w:pPr>
          </w:p>
          <w:p w:rsidRPr="00484890" w:rsidR="00BD741A" w:rsidP="002E11CA" w:rsidRDefault="00BD741A" w14:paraId="44787219" w14:textId="2C398805">
            <w:pPr>
              <w:jc w:val="both"/>
              <w:rPr>
                <w:rFonts w:cstheme="minorHAnsi"/>
                <w:sz w:val="20"/>
                <w:szCs w:val="20"/>
                <w:lang w:val="en-GB" w:eastAsia="en-GB"/>
              </w:rPr>
            </w:pPr>
            <w:r w:rsidRPr="00484890">
              <w:rPr>
                <w:rFonts w:cstheme="minorHAnsi"/>
                <w:sz w:val="20"/>
                <w:szCs w:val="20"/>
                <w:lang w:val="en-GB" w:eastAsia="en-GB"/>
              </w:rPr>
              <w:t>Accountability for the incidence of onset of complications and incidence of hard clinical endpoints such as amputation and blindness lies across the health economy, and responsibility will be shared by all providers of diabetes care</w:t>
            </w:r>
            <w:r w:rsidR="00A77B90">
              <w:rPr>
                <w:rFonts w:cstheme="minorHAnsi"/>
                <w:sz w:val="20"/>
                <w:szCs w:val="20"/>
                <w:lang w:val="en-GB" w:eastAsia="en-GB"/>
              </w:rPr>
              <w:t xml:space="preserve"> as well as </w:t>
            </w:r>
            <w:r w:rsidR="0002522F">
              <w:rPr>
                <w:rFonts w:cstheme="minorHAnsi"/>
                <w:sz w:val="20"/>
                <w:szCs w:val="20"/>
                <w:lang w:val="en-GB" w:eastAsia="en-GB"/>
              </w:rPr>
              <w:t xml:space="preserve">by </w:t>
            </w:r>
            <w:r w:rsidR="00621211">
              <w:rPr>
                <w:rFonts w:cstheme="minorHAnsi"/>
                <w:sz w:val="20"/>
                <w:szCs w:val="20"/>
                <w:lang w:val="en-GB" w:eastAsia="en-GB"/>
              </w:rPr>
              <w:t xml:space="preserve">the wider integrated </w:t>
            </w:r>
            <w:r w:rsidR="0080540A">
              <w:rPr>
                <w:rFonts w:cstheme="minorHAnsi"/>
                <w:sz w:val="20"/>
                <w:szCs w:val="20"/>
                <w:lang w:val="en-GB" w:eastAsia="en-GB"/>
              </w:rPr>
              <w:t>care system.</w:t>
            </w:r>
          </w:p>
          <w:p w:rsidRPr="008860D2" w:rsidR="00BD741A" w:rsidP="002E11CA" w:rsidRDefault="00BD741A" w14:paraId="5BBDF582" w14:textId="77777777">
            <w:pPr>
              <w:jc w:val="both"/>
              <w:rPr>
                <w:rFonts w:cstheme="minorHAnsi"/>
                <w:sz w:val="12"/>
                <w:szCs w:val="12"/>
                <w:lang w:val="en-GB" w:eastAsia="en-GB"/>
              </w:rPr>
            </w:pPr>
          </w:p>
          <w:p w:rsidR="00BD741A" w:rsidP="002E11CA" w:rsidRDefault="00BD741A" w14:paraId="3D5395EA" w14:textId="3A730E2B">
            <w:pPr>
              <w:jc w:val="both"/>
              <w:rPr>
                <w:rFonts w:cstheme="minorHAnsi"/>
                <w:sz w:val="20"/>
                <w:szCs w:val="20"/>
                <w:lang w:val="en-GB" w:eastAsia="en-GB"/>
              </w:rPr>
            </w:pPr>
            <w:r w:rsidRPr="00484890">
              <w:rPr>
                <w:rFonts w:cstheme="minorHAnsi"/>
                <w:sz w:val="20"/>
                <w:szCs w:val="20"/>
                <w:lang w:val="en-GB" w:eastAsia="en-GB"/>
              </w:rPr>
              <w:t>Care planning, care delivery, plan review and adjustment and operational improvement should underpin the ap</w:t>
            </w:r>
            <w:r>
              <w:rPr>
                <w:rFonts w:cstheme="minorHAnsi"/>
                <w:sz w:val="20"/>
                <w:szCs w:val="20"/>
                <w:lang w:val="en-GB" w:eastAsia="en-GB"/>
              </w:rPr>
              <w:t>proach to all service delivery.</w:t>
            </w:r>
            <w:r>
              <w:rPr>
                <w:rStyle w:val="FootnoteReference"/>
                <w:rFonts w:cstheme="minorHAnsi"/>
                <w:sz w:val="20"/>
                <w:szCs w:val="20"/>
                <w:lang w:val="en-GB" w:eastAsia="en-GB"/>
              </w:rPr>
              <w:footnoteReference w:id="6"/>
            </w:r>
          </w:p>
          <w:p w:rsidR="00BD741A" w:rsidP="002E11CA" w:rsidRDefault="00BD741A" w14:paraId="278E26FF" w14:textId="4F87A30D">
            <w:pPr>
              <w:jc w:val="both"/>
              <w:rPr>
                <w:rFonts w:cstheme="minorHAnsi"/>
                <w:sz w:val="20"/>
                <w:szCs w:val="20"/>
                <w:lang w:val="en-GB" w:eastAsia="en-GB"/>
              </w:rPr>
            </w:pPr>
          </w:p>
          <w:p w:rsidRPr="001F0669" w:rsidR="00B10AE1" w:rsidP="002E11CA" w:rsidRDefault="00B10AE1" w14:paraId="7678FC23" w14:textId="77777777">
            <w:pPr>
              <w:jc w:val="both"/>
              <w:rPr>
                <w:rFonts w:cstheme="minorHAnsi"/>
                <w:sz w:val="20"/>
                <w:szCs w:val="20"/>
                <w:lang w:val="en-GB" w:eastAsia="en-GB"/>
              </w:rPr>
            </w:pPr>
          </w:p>
          <w:p w:rsidRPr="002311BF" w:rsidR="00BD741A" w:rsidP="002D2C96" w:rsidRDefault="003358E4" w14:paraId="137AD291" w14:textId="25F4D26A">
            <w:pPr>
              <w:jc w:val="both"/>
              <w:rPr>
                <w:rFonts w:cstheme="minorHAnsi"/>
                <w:b/>
                <w:bCs/>
                <w:sz w:val="20"/>
                <w:szCs w:val="20"/>
                <w:u w:val="single"/>
                <w:lang w:val="en-GB" w:eastAsia="en-GB"/>
              </w:rPr>
            </w:pPr>
            <w:r w:rsidRPr="002311BF">
              <w:rPr>
                <w:rFonts w:cstheme="minorHAnsi"/>
                <w:b/>
                <w:bCs/>
                <w:sz w:val="20"/>
                <w:szCs w:val="20"/>
                <w:u w:val="single"/>
                <w:lang w:val="en-GB" w:eastAsia="en-GB"/>
              </w:rPr>
              <w:t xml:space="preserve">Additional Support for </w:t>
            </w:r>
            <w:r w:rsidRPr="002311BF" w:rsidR="00301C0C">
              <w:rPr>
                <w:rFonts w:cstheme="minorHAnsi"/>
                <w:b/>
                <w:bCs/>
                <w:sz w:val="20"/>
                <w:szCs w:val="20"/>
                <w:u w:val="single"/>
                <w:lang w:val="en-GB" w:eastAsia="en-GB"/>
              </w:rPr>
              <w:t>Early Onset</w:t>
            </w:r>
            <w:r w:rsidRPr="002311BF">
              <w:rPr>
                <w:rFonts w:cstheme="minorHAnsi"/>
                <w:b/>
                <w:bCs/>
                <w:sz w:val="20"/>
                <w:szCs w:val="20"/>
                <w:u w:val="single"/>
                <w:lang w:val="en-GB" w:eastAsia="en-GB"/>
              </w:rPr>
              <w:t xml:space="preserve"> Type 2 Diabetes</w:t>
            </w:r>
          </w:p>
          <w:p w:rsidRPr="002311BF" w:rsidR="00016C27" w:rsidP="00016C27" w:rsidRDefault="00016C27" w14:paraId="3FCDB0A7" w14:textId="77777777">
            <w:pPr>
              <w:jc w:val="both"/>
              <w:rPr>
                <w:rFonts w:cstheme="minorHAnsi"/>
                <w:sz w:val="20"/>
                <w:szCs w:val="20"/>
                <w:lang w:val="en-GB" w:eastAsia="en-GB"/>
              </w:rPr>
            </w:pPr>
          </w:p>
          <w:p w:rsidRPr="002311BF" w:rsidR="00016C27" w:rsidP="00B10AE1" w:rsidRDefault="00016C27" w14:paraId="23599C4B" w14:textId="0FB69F4D">
            <w:pPr>
              <w:jc w:val="both"/>
              <w:rPr>
                <w:rFonts w:cstheme="minorHAnsi"/>
                <w:sz w:val="20"/>
                <w:szCs w:val="20"/>
                <w:lang w:val="en-GB" w:eastAsia="en-GB"/>
              </w:rPr>
            </w:pPr>
            <w:r w:rsidRPr="002311BF">
              <w:rPr>
                <w:rFonts w:cstheme="minorHAnsi"/>
                <w:sz w:val="20"/>
                <w:szCs w:val="20"/>
                <w:lang w:val="en-GB" w:eastAsia="en-GB"/>
              </w:rPr>
              <w:t xml:space="preserve">All people with EOT2D should be </w:t>
            </w:r>
            <w:r w:rsidR="00382A66">
              <w:rPr>
                <w:rFonts w:cstheme="minorHAnsi"/>
                <w:sz w:val="20"/>
                <w:szCs w:val="20"/>
                <w:lang w:val="en-GB" w:eastAsia="en-GB"/>
              </w:rPr>
              <w:t>encouraged</w:t>
            </w:r>
            <w:r w:rsidRPr="002311BF">
              <w:rPr>
                <w:rFonts w:cstheme="minorHAnsi"/>
                <w:sz w:val="20"/>
                <w:szCs w:val="20"/>
                <w:lang w:val="en-GB" w:eastAsia="en-GB"/>
              </w:rPr>
              <w:t xml:space="preserve"> to attend an extended (at least 30 minute) face to face review and </w:t>
            </w:r>
            <w:r w:rsidRPr="002311BF" w:rsidR="002D2C96">
              <w:rPr>
                <w:rFonts w:cstheme="minorHAnsi"/>
                <w:sz w:val="20"/>
                <w:szCs w:val="20"/>
                <w:lang w:val="en-GB" w:eastAsia="en-GB"/>
              </w:rPr>
              <w:t xml:space="preserve">where appropriate, </w:t>
            </w:r>
            <w:r w:rsidRPr="002311BF">
              <w:rPr>
                <w:rFonts w:cstheme="minorHAnsi"/>
                <w:sz w:val="20"/>
                <w:szCs w:val="20"/>
                <w:lang w:val="en-GB" w:eastAsia="en-GB"/>
              </w:rPr>
              <w:t>discussed at an MDT meeting.</w:t>
            </w:r>
          </w:p>
          <w:p w:rsidRPr="002311BF" w:rsidR="004110C0" w:rsidP="00B10AE1" w:rsidRDefault="004110C0" w14:paraId="2752E81D" w14:textId="77777777">
            <w:pPr>
              <w:jc w:val="both"/>
              <w:rPr>
                <w:rFonts w:cstheme="minorHAnsi"/>
                <w:sz w:val="20"/>
                <w:szCs w:val="20"/>
                <w:lang w:val="en-GB" w:eastAsia="en-GB"/>
              </w:rPr>
            </w:pPr>
          </w:p>
          <w:p w:rsidRPr="002311BF" w:rsidR="00C72C4C" w:rsidP="00A02D5C" w:rsidRDefault="00C72C4C" w14:paraId="019AC39C" w14:textId="424A319D">
            <w:pPr>
              <w:pStyle w:val="ListParagraph"/>
              <w:numPr>
                <w:ilvl w:val="0"/>
                <w:numId w:val="35"/>
              </w:numPr>
              <w:jc w:val="both"/>
              <w:rPr>
                <w:rFonts w:cstheme="minorHAnsi"/>
                <w:b/>
                <w:bCs/>
                <w:sz w:val="20"/>
                <w:szCs w:val="20"/>
                <w:lang w:val="en-GB" w:eastAsia="en-GB"/>
              </w:rPr>
            </w:pPr>
            <w:r w:rsidRPr="002311BF">
              <w:rPr>
                <w:rFonts w:cstheme="minorHAnsi"/>
                <w:b/>
                <w:bCs/>
                <w:sz w:val="20"/>
                <w:szCs w:val="20"/>
                <w:lang w:val="en-GB" w:eastAsia="en-GB"/>
              </w:rPr>
              <w:t>Data gathering to support reviews / opportunistic care process delivery</w:t>
            </w:r>
          </w:p>
          <w:p w:rsidRPr="002311BF" w:rsidR="00C72C4C" w:rsidP="00A02D5C" w:rsidRDefault="00C72C4C" w14:paraId="294EE35B" w14:textId="71A31AF3">
            <w:pPr>
              <w:pStyle w:val="ListParagraph"/>
              <w:numPr>
                <w:ilvl w:val="0"/>
                <w:numId w:val="36"/>
              </w:numPr>
              <w:jc w:val="both"/>
              <w:rPr>
                <w:rFonts w:cstheme="minorHAnsi"/>
                <w:sz w:val="20"/>
                <w:szCs w:val="20"/>
                <w:lang w:val="en-GB" w:eastAsia="en-GB"/>
              </w:rPr>
            </w:pPr>
            <w:r w:rsidRPr="002311BF">
              <w:rPr>
                <w:rFonts w:cstheme="minorHAnsi"/>
                <w:sz w:val="20"/>
                <w:szCs w:val="20"/>
                <w:lang w:val="en-GB" w:eastAsia="en-GB"/>
              </w:rPr>
              <w:t xml:space="preserve">For clarity, it is expected that completion of all </w:t>
            </w:r>
            <w:r w:rsidRPr="002311BF" w:rsidR="002D0B85">
              <w:rPr>
                <w:rFonts w:cstheme="minorHAnsi"/>
                <w:sz w:val="20"/>
                <w:szCs w:val="20"/>
                <w:lang w:val="en-GB" w:eastAsia="en-GB"/>
              </w:rPr>
              <w:t>9</w:t>
            </w:r>
            <w:r w:rsidRPr="002311BF">
              <w:rPr>
                <w:rFonts w:cstheme="minorHAnsi"/>
                <w:sz w:val="20"/>
                <w:szCs w:val="20"/>
                <w:lang w:val="en-GB" w:eastAsia="en-GB"/>
              </w:rPr>
              <w:t xml:space="preserve"> NICE recommended annual care processes should occur in all people with diabetes, independent of this intervention</w:t>
            </w:r>
          </w:p>
          <w:p w:rsidRPr="002311BF" w:rsidR="00C72C4C" w:rsidP="00A02D5C" w:rsidRDefault="00C72C4C" w14:paraId="5274EFED" w14:textId="29A09934">
            <w:pPr>
              <w:pStyle w:val="ListParagraph"/>
              <w:numPr>
                <w:ilvl w:val="0"/>
                <w:numId w:val="36"/>
              </w:numPr>
              <w:jc w:val="both"/>
              <w:rPr>
                <w:rFonts w:cstheme="minorHAnsi"/>
                <w:sz w:val="20"/>
                <w:szCs w:val="20"/>
                <w:lang w:val="en-GB" w:eastAsia="en-GB"/>
              </w:rPr>
            </w:pPr>
            <w:r w:rsidRPr="002311BF">
              <w:rPr>
                <w:rFonts w:cstheme="minorHAnsi"/>
                <w:sz w:val="20"/>
                <w:szCs w:val="20"/>
                <w:lang w:val="en-GB" w:eastAsia="en-GB"/>
              </w:rPr>
              <w:t>Prior to a review, appropriately up-to-date values of relevant clinical markers should be obtained to guide shared decision-making and therapeutic approach (e.g., re-checking HbA1c prior to review, particularly if there has been an intervening change to glucose-lowering medication or last HbA1c was recorded more than 6 months ago)</w:t>
            </w:r>
          </w:p>
          <w:p w:rsidRPr="002311BF" w:rsidR="00C72C4C" w:rsidP="00A02D5C" w:rsidRDefault="00C72C4C" w14:paraId="6B254294" w14:textId="5DAD3E10">
            <w:pPr>
              <w:pStyle w:val="ListParagraph"/>
              <w:numPr>
                <w:ilvl w:val="0"/>
                <w:numId w:val="36"/>
              </w:numPr>
              <w:jc w:val="both"/>
              <w:rPr>
                <w:rFonts w:cstheme="minorHAnsi"/>
                <w:sz w:val="20"/>
                <w:szCs w:val="20"/>
                <w:lang w:val="en-GB" w:eastAsia="en-GB"/>
              </w:rPr>
            </w:pPr>
            <w:r w:rsidRPr="002311BF">
              <w:rPr>
                <w:rFonts w:cstheme="minorHAnsi"/>
                <w:sz w:val="20"/>
                <w:szCs w:val="20"/>
                <w:lang w:val="en-GB" w:eastAsia="en-GB"/>
              </w:rPr>
              <w:t>The additional contact / review(s) funded by this intervention also present an opportunity to ensure completion of any care processes that were previously missed</w:t>
            </w:r>
          </w:p>
          <w:p w:rsidRPr="002311BF" w:rsidR="007D418F" w:rsidP="00C72C4C" w:rsidRDefault="007D418F" w14:paraId="3C4EF7D6" w14:textId="77777777">
            <w:pPr>
              <w:jc w:val="both"/>
              <w:rPr>
                <w:rFonts w:cstheme="minorHAnsi"/>
                <w:sz w:val="20"/>
                <w:szCs w:val="20"/>
                <w:lang w:val="en-GB" w:eastAsia="en-GB"/>
              </w:rPr>
            </w:pPr>
          </w:p>
          <w:p w:rsidRPr="002311BF" w:rsidR="00C72C4C" w:rsidP="00A02D5C" w:rsidRDefault="00C72C4C" w14:paraId="0F782A72" w14:textId="3304DD94">
            <w:pPr>
              <w:pStyle w:val="ListParagraph"/>
              <w:numPr>
                <w:ilvl w:val="0"/>
                <w:numId w:val="35"/>
              </w:numPr>
              <w:jc w:val="both"/>
              <w:rPr>
                <w:rFonts w:cstheme="minorHAnsi"/>
                <w:b/>
                <w:bCs/>
                <w:sz w:val="20"/>
                <w:szCs w:val="20"/>
                <w:lang w:val="en-GB" w:eastAsia="en-GB"/>
              </w:rPr>
            </w:pPr>
            <w:r w:rsidRPr="002311BF">
              <w:rPr>
                <w:rFonts w:cstheme="minorHAnsi"/>
                <w:b/>
                <w:bCs/>
                <w:sz w:val="20"/>
                <w:szCs w:val="20"/>
                <w:lang w:val="en-GB" w:eastAsia="en-GB"/>
              </w:rPr>
              <w:t>Consideration of potential misclassification of diabetes type</w:t>
            </w:r>
          </w:p>
          <w:p w:rsidRPr="002311BF" w:rsidR="00C72C4C" w:rsidP="00A02D5C" w:rsidRDefault="00C72C4C" w14:paraId="10010280" w14:textId="2B5C67BC">
            <w:pPr>
              <w:pStyle w:val="ListParagraph"/>
              <w:numPr>
                <w:ilvl w:val="0"/>
                <w:numId w:val="37"/>
              </w:numPr>
              <w:jc w:val="both"/>
              <w:rPr>
                <w:rFonts w:cstheme="minorHAnsi"/>
                <w:sz w:val="20"/>
                <w:szCs w:val="20"/>
                <w:lang w:val="en-GB" w:eastAsia="en-GB"/>
              </w:rPr>
            </w:pPr>
            <w:r w:rsidRPr="002311BF">
              <w:rPr>
                <w:rFonts w:cstheme="minorHAnsi"/>
                <w:sz w:val="20"/>
                <w:szCs w:val="20"/>
                <w:lang w:val="en-GB" w:eastAsia="en-GB"/>
              </w:rPr>
              <w:t>During reviews, consideration should be given to any features suggesting that diabetes type may be other than Type 2 diabetes, taking into account any prior correspondence from specialist services</w:t>
            </w:r>
          </w:p>
          <w:p w:rsidRPr="002311BF" w:rsidR="00C72C4C" w:rsidP="00A02D5C" w:rsidRDefault="00C72C4C" w14:paraId="11C9ACFD" w14:textId="4782BEEF">
            <w:pPr>
              <w:pStyle w:val="ListParagraph"/>
              <w:numPr>
                <w:ilvl w:val="0"/>
                <w:numId w:val="37"/>
              </w:numPr>
              <w:jc w:val="both"/>
              <w:rPr>
                <w:rFonts w:cstheme="minorHAnsi"/>
                <w:sz w:val="20"/>
                <w:szCs w:val="20"/>
                <w:lang w:val="en-GB" w:eastAsia="en-GB"/>
              </w:rPr>
            </w:pPr>
            <w:r w:rsidRPr="002311BF">
              <w:rPr>
                <w:rFonts w:cstheme="minorHAnsi"/>
                <w:sz w:val="20"/>
                <w:szCs w:val="20"/>
                <w:lang w:val="en-GB" w:eastAsia="en-GB"/>
              </w:rPr>
              <w:t>If there is suspicion that misclassification may have occurred, local pathways for further assessment should be followed (this is likely to include a referral to specialist services)</w:t>
            </w:r>
          </w:p>
          <w:p w:rsidRPr="002311BF" w:rsidR="007D418F" w:rsidP="00C72C4C" w:rsidRDefault="007D418F" w14:paraId="53DF586E" w14:textId="77777777">
            <w:pPr>
              <w:jc w:val="both"/>
              <w:rPr>
                <w:rFonts w:cstheme="minorHAnsi"/>
                <w:sz w:val="20"/>
                <w:szCs w:val="20"/>
                <w:lang w:val="en-GB" w:eastAsia="en-GB"/>
              </w:rPr>
            </w:pPr>
          </w:p>
          <w:p w:rsidRPr="002311BF" w:rsidR="007D418F" w:rsidP="00A02D5C" w:rsidRDefault="00C72C4C" w14:paraId="0DAE0B4C" w14:textId="53800295">
            <w:pPr>
              <w:pStyle w:val="ListParagraph"/>
              <w:numPr>
                <w:ilvl w:val="0"/>
                <w:numId w:val="35"/>
              </w:numPr>
              <w:jc w:val="both"/>
              <w:rPr>
                <w:rFonts w:cstheme="minorHAnsi"/>
                <w:b/>
                <w:bCs/>
                <w:sz w:val="20"/>
                <w:szCs w:val="20"/>
                <w:lang w:val="en-GB" w:eastAsia="en-GB"/>
              </w:rPr>
            </w:pPr>
            <w:r w:rsidRPr="002311BF">
              <w:rPr>
                <w:rFonts w:cstheme="minorHAnsi"/>
                <w:b/>
                <w:bCs/>
                <w:sz w:val="20"/>
                <w:szCs w:val="20"/>
                <w:lang w:val="en-GB" w:eastAsia="en-GB"/>
              </w:rPr>
              <w:t>Contraception and planning for</w:t>
            </w:r>
            <w:r w:rsidRPr="002311BF" w:rsidR="007D418F">
              <w:rPr>
                <w:rFonts w:cstheme="minorHAnsi"/>
                <w:b/>
                <w:bCs/>
                <w:sz w:val="20"/>
                <w:szCs w:val="20"/>
                <w:lang w:val="en-GB" w:eastAsia="en-GB"/>
              </w:rPr>
              <w:t xml:space="preserve"> possibility of pregnancy</w:t>
            </w:r>
          </w:p>
          <w:p w:rsidRPr="002311BF" w:rsidR="00C72C4C" w:rsidP="008D7948" w:rsidRDefault="0043348A" w14:paraId="3ABDD501" w14:textId="1723DFF5">
            <w:pPr>
              <w:jc w:val="both"/>
              <w:rPr>
                <w:rFonts w:cstheme="minorHAnsi"/>
                <w:sz w:val="20"/>
                <w:szCs w:val="20"/>
                <w:lang w:val="en-GB" w:eastAsia="en-GB"/>
              </w:rPr>
            </w:pPr>
            <w:r w:rsidRPr="002311BF">
              <w:rPr>
                <w:rFonts w:cstheme="minorHAnsi"/>
                <w:sz w:val="20"/>
                <w:szCs w:val="20"/>
                <w:lang w:val="en-GB" w:eastAsia="en-GB"/>
              </w:rPr>
              <w:t>For all women with EOT2D and potential to become pregnant, discuss contraception, the importance of pre-pregnancy planning and what to do if they have a positive pregnancy test.</w:t>
            </w:r>
            <w:r w:rsidRPr="002311BF" w:rsidR="00605103">
              <w:rPr>
                <w:rFonts w:cstheme="minorHAnsi"/>
                <w:sz w:val="20"/>
                <w:szCs w:val="20"/>
                <w:lang w:val="en-GB" w:eastAsia="en-GB"/>
              </w:rPr>
              <w:t xml:space="preserve"> </w:t>
            </w:r>
          </w:p>
          <w:p w:rsidRPr="002311BF" w:rsidR="007B57D1" w:rsidP="008D7948" w:rsidRDefault="007B57D1" w14:paraId="2C872AA5" w14:textId="77777777">
            <w:pPr>
              <w:jc w:val="both"/>
              <w:rPr>
                <w:rFonts w:cstheme="minorHAnsi"/>
                <w:sz w:val="20"/>
                <w:szCs w:val="20"/>
                <w:lang w:val="en-GB" w:eastAsia="en-GB"/>
              </w:rPr>
            </w:pPr>
          </w:p>
          <w:p w:rsidRPr="002311BF" w:rsidR="007B57D1" w:rsidP="007B57D1" w:rsidRDefault="007B57D1" w14:paraId="212AC0F7" w14:textId="77777777">
            <w:pPr>
              <w:jc w:val="both"/>
              <w:rPr>
                <w:rFonts w:cstheme="minorHAnsi"/>
                <w:sz w:val="20"/>
                <w:szCs w:val="20"/>
                <w:lang w:val="en-GB" w:eastAsia="en-GB"/>
              </w:rPr>
            </w:pPr>
            <w:r w:rsidRPr="002311BF">
              <w:rPr>
                <w:rFonts w:cstheme="minorHAnsi"/>
                <w:sz w:val="20"/>
                <w:szCs w:val="20"/>
                <w:lang w:val="en-GB" w:eastAsia="en-GB"/>
              </w:rPr>
              <w:t>For women with potential to become pregnant, who are not trying for pregnancy, encourage use of contraception:</w:t>
            </w:r>
          </w:p>
          <w:p w:rsidRPr="002311BF" w:rsidR="007B57D1" w:rsidP="00A02D5C" w:rsidRDefault="007B57D1" w14:paraId="693ABF22" w14:textId="43C5B00C">
            <w:pPr>
              <w:pStyle w:val="ListParagraph"/>
              <w:numPr>
                <w:ilvl w:val="0"/>
                <w:numId w:val="39"/>
              </w:numPr>
              <w:jc w:val="both"/>
              <w:rPr>
                <w:rFonts w:cstheme="minorHAnsi"/>
                <w:sz w:val="20"/>
                <w:szCs w:val="20"/>
                <w:lang w:val="en-GB" w:eastAsia="en-GB"/>
              </w:rPr>
            </w:pPr>
            <w:r w:rsidRPr="002311BF">
              <w:rPr>
                <w:rFonts w:cstheme="minorHAnsi"/>
                <w:sz w:val="20"/>
                <w:szCs w:val="20"/>
                <w:lang w:val="en-GB" w:eastAsia="en-GB"/>
              </w:rPr>
              <w:t>Offer initiation of contraception or signpost/refer as appropriate</w:t>
            </w:r>
          </w:p>
          <w:p w:rsidRPr="002311BF" w:rsidR="00605103" w:rsidP="00502AF9" w:rsidRDefault="00605103" w14:paraId="3BEFFC18" w14:textId="77777777">
            <w:pPr>
              <w:jc w:val="both"/>
              <w:rPr>
                <w:rFonts w:cstheme="minorHAnsi"/>
                <w:sz w:val="20"/>
                <w:szCs w:val="20"/>
                <w:lang w:val="en-GB" w:eastAsia="en-GB"/>
              </w:rPr>
            </w:pPr>
          </w:p>
          <w:p w:rsidRPr="002311BF" w:rsidR="00C72C4C" w:rsidP="00502AF9" w:rsidRDefault="00C72C4C" w14:paraId="1FA156A4" w14:textId="1747E384">
            <w:pPr>
              <w:jc w:val="both"/>
              <w:rPr>
                <w:rFonts w:cstheme="minorHAnsi"/>
                <w:sz w:val="20"/>
                <w:szCs w:val="20"/>
                <w:lang w:val="en-GB" w:eastAsia="en-GB"/>
              </w:rPr>
            </w:pPr>
            <w:r w:rsidRPr="002311BF">
              <w:rPr>
                <w:rFonts w:cstheme="minorHAnsi"/>
                <w:sz w:val="20"/>
                <w:szCs w:val="20"/>
                <w:lang w:val="en-GB" w:eastAsia="en-GB"/>
              </w:rPr>
              <w:t>For women with potential to become pregnant who are trying for pregnancy / likely to become pregnant (including those who are sexually active and not using contraception):</w:t>
            </w:r>
          </w:p>
          <w:p w:rsidRPr="002311BF" w:rsidR="00C72C4C" w:rsidP="00A02D5C" w:rsidRDefault="00C72C4C" w14:paraId="0B858BCD" w14:textId="647DEEB6">
            <w:pPr>
              <w:pStyle w:val="ListParagraph"/>
              <w:numPr>
                <w:ilvl w:val="0"/>
                <w:numId w:val="38"/>
              </w:numPr>
              <w:jc w:val="both"/>
              <w:rPr>
                <w:rFonts w:cstheme="minorHAnsi"/>
                <w:sz w:val="20"/>
                <w:szCs w:val="20"/>
                <w:lang w:val="en-GB" w:eastAsia="en-GB"/>
              </w:rPr>
            </w:pPr>
            <w:r w:rsidRPr="002311BF">
              <w:rPr>
                <w:rFonts w:cstheme="minorHAnsi"/>
                <w:sz w:val="20"/>
                <w:szCs w:val="20"/>
                <w:lang w:val="en-GB" w:eastAsia="en-GB"/>
              </w:rPr>
              <w:t>Prescribe folic acid supplementation of 5mg daily</w:t>
            </w:r>
          </w:p>
          <w:p w:rsidRPr="002311BF" w:rsidR="00C72C4C" w:rsidP="00A02D5C" w:rsidRDefault="00C72C4C" w14:paraId="1D50F01F" w14:textId="08828017">
            <w:pPr>
              <w:pStyle w:val="ListParagraph"/>
              <w:numPr>
                <w:ilvl w:val="0"/>
                <w:numId w:val="38"/>
              </w:numPr>
              <w:jc w:val="both"/>
              <w:rPr>
                <w:rFonts w:cstheme="minorHAnsi"/>
                <w:sz w:val="20"/>
                <w:szCs w:val="20"/>
                <w:lang w:val="en-GB" w:eastAsia="en-GB"/>
              </w:rPr>
            </w:pPr>
            <w:r w:rsidRPr="002311BF">
              <w:rPr>
                <w:rFonts w:cstheme="minorHAnsi"/>
                <w:sz w:val="20"/>
                <w:szCs w:val="20"/>
                <w:lang w:val="en-GB" w:eastAsia="en-GB"/>
              </w:rPr>
              <w:t>Avoid use of medications which are not suitable in pregnancy. This includes many glucose-lowering medications (except metformin and insulin) as well as other medications which are not used for glucose-lowering (e.g., statins, ACE-i etc)</w:t>
            </w:r>
          </w:p>
          <w:p w:rsidRPr="002311BF" w:rsidR="00C72C4C" w:rsidP="00A02D5C" w:rsidRDefault="00C72C4C" w14:paraId="45189507" w14:textId="2CD9EC16">
            <w:pPr>
              <w:pStyle w:val="ListParagraph"/>
              <w:numPr>
                <w:ilvl w:val="0"/>
                <w:numId w:val="38"/>
              </w:numPr>
              <w:jc w:val="both"/>
              <w:rPr>
                <w:rFonts w:cstheme="minorHAnsi"/>
                <w:sz w:val="20"/>
                <w:szCs w:val="20"/>
                <w:lang w:val="en-GB" w:eastAsia="en-GB"/>
              </w:rPr>
            </w:pPr>
            <w:r w:rsidRPr="002311BF">
              <w:rPr>
                <w:rFonts w:cstheme="minorHAnsi"/>
                <w:sz w:val="20"/>
                <w:szCs w:val="20"/>
                <w:lang w:val="en-GB" w:eastAsia="en-GB"/>
              </w:rPr>
              <w:t>Emphasise the importance of intensive glycaemic control in reducing the risk of adverse maternal and foetal outcomes in pregnancy. Referral to specialist services for insulin initiation may be indicated</w:t>
            </w:r>
          </w:p>
          <w:p w:rsidRPr="002311BF" w:rsidR="003969EC" w:rsidP="003969EC" w:rsidRDefault="003969EC" w14:paraId="694399C0" w14:textId="77777777">
            <w:pPr>
              <w:jc w:val="both"/>
              <w:rPr>
                <w:rFonts w:cstheme="minorHAnsi"/>
                <w:sz w:val="20"/>
                <w:szCs w:val="20"/>
                <w:lang w:val="en-GB" w:eastAsia="en-GB"/>
              </w:rPr>
            </w:pPr>
          </w:p>
          <w:p w:rsidRPr="002311BF" w:rsidR="00C72C4C" w:rsidP="003969EC" w:rsidRDefault="00C72C4C" w14:paraId="5B19F71F" w14:textId="47ECFA1A">
            <w:pPr>
              <w:jc w:val="both"/>
              <w:rPr>
                <w:rFonts w:cstheme="minorHAnsi"/>
                <w:sz w:val="20"/>
                <w:szCs w:val="20"/>
                <w:lang w:val="en-GB" w:eastAsia="en-GB"/>
              </w:rPr>
            </w:pPr>
            <w:r w:rsidRPr="002311BF">
              <w:rPr>
                <w:rFonts w:cstheme="minorHAnsi"/>
                <w:sz w:val="20"/>
                <w:szCs w:val="20"/>
                <w:lang w:val="en-GB" w:eastAsia="en-GB"/>
              </w:rPr>
              <w:t>Women with EOT2D should be informed that they should urgently notify their GP practice (or diabetes team if applicable) if they have a positive pregnancy test so that they can be urgently referred to the Diabetes in Pregnancy team (for antenatal clinic review within a week to reduce pregnancy risks).</w:t>
            </w:r>
          </w:p>
          <w:p w:rsidRPr="002311BF" w:rsidR="003969EC" w:rsidP="003969EC" w:rsidRDefault="003969EC" w14:paraId="500389DD" w14:textId="77777777">
            <w:pPr>
              <w:jc w:val="both"/>
              <w:rPr>
                <w:rFonts w:cstheme="minorHAnsi"/>
                <w:sz w:val="20"/>
                <w:szCs w:val="20"/>
                <w:lang w:val="en-GB" w:eastAsia="en-GB"/>
              </w:rPr>
            </w:pPr>
          </w:p>
          <w:p w:rsidRPr="002311BF" w:rsidR="00C72C4C" w:rsidP="00A02D5C" w:rsidRDefault="00C72C4C" w14:paraId="0E2A4857" w14:textId="1F60A84D">
            <w:pPr>
              <w:pStyle w:val="ListParagraph"/>
              <w:numPr>
                <w:ilvl w:val="0"/>
                <w:numId w:val="35"/>
              </w:numPr>
              <w:jc w:val="both"/>
              <w:rPr>
                <w:rFonts w:cstheme="minorHAnsi"/>
                <w:b/>
                <w:bCs/>
                <w:sz w:val="20"/>
                <w:szCs w:val="20"/>
                <w:lang w:val="en-GB" w:eastAsia="en-GB"/>
              </w:rPr>
            </w:pPr>
            <w:r w:rsidRPr="002311BF">
              <w:rPr>
                <w:rFonts w:cstheme="minorHAnsi"/>
                <w:b/>
                <w:bCs/>
                <w:sz w:val="20"/>
                <w:szCs w:val="20"/>
                <w:lang w:val="en-GB" w:eastAsia="en-GB"/>
              </w:rPr>
              <w:t>Optimisation of glycaemia</w:t>
            </w:r>
            <w:r w:rsidRPr="002311BF" w:rsidR="003969EC">
              <w:rPr>
                <w:rFonts w:cstheme="minorHAnsi"/>
                <w:b/>
                <w:bCs/>
                <w:sz w:val="20"/>
                <w:szCs w:val="20"/>
                <w:lang w:val="en-GB" w:eastAsia="en-GB"/>
              </w:rPr>
              <w:t xml:space="preserve"> and</w:t>
            </w:r>
            <w:r w:rsidRPr="002311BF">
              <w:rPr>
                <w:rFonts w:cstheme="minorHAnsi"/>
                <w:b/>
                <w:bCs/>
                <w:sz w:val="20"/>
                <w:szCs w:val="20"/>
                <w:lang w:val="en-GB" w:eastAsia="en-GB"/>
              </w:rPr>
              <w:t xml:space="preserve"> cardiovascular risk</w:t>
            </w:r>
            <w:r w:rsidRPr="002311BF" w:rsidR="003969EC">
              <w:rPr>
                <w:rFonts w:cstheme="minorHAnsi"/>
                <w:b/>
                <w:bCs/>
                <w:sz w:val="20"/>
                <w:szCs w:val="20"/>
                <w:lang w:val="en-GB" w:eastAsia="en-GB"/>
              </w:rPr>
              <w:t xml:space="preserve"> and </w:t>
            </w:r>
            <w:r w:rsidRPr="002311BF" w:rsidR="007522B6">
              <w:rPr>
                <w:rFonts w:cstheme="minorHAnsi"/>
                <w:b/>
                <w:bCs/>
                <w:sz w:val="20"/>
                <w:szCs w:val="20"/>
                <w:lang w:val="en-GB" w:eastAsia="en-GB"/>
              </w:rPr>
              <w:t>weight</w:t>
            </w:r>
          </w:p>
          <w:p w:rsidRPr="002311BF" w:rsidR="00C72C4C" w:rsidP="00C72C4C" w:rsidRDefault="00C72C4C" w14:paraId="0725F08D" w14:textId="77777777">
            <w:pPr>
              <w:jc w:val="both"/>
              <w:rPr>
                <w:rFonts w:cstheme="minorHAnsi"/>
                <w:sz w:val="20"/>
                <w:szCs w:val="20"/>
                <w:lang w:val="en-GB" w:eastAsia="en-GB"/>
              </w:rPr>
            </w:pPr>
            <w:r w:rsidRPr="002311BF">
              <w:rPr>
                <w:rFonts w:cstheme="minorHAnsi"/>
                <w:sz w:val="20"/>
                <w:szCs w:val="20"/>
                <w:lang w:val="en-GB" w:eastAsia="en-GB"/>
              </w:rPr>
              <w:t>It is recommended that clinicians follow NICE guidance on management of glucose, cardiometabolic risk factors and weight, with the avoidance of therapeutic inertia and undue delay in intensification.</w:t>
            </w:r>
          </w:p>
          <w:p w:rsidRPr="002311BF" w:rsidR="00C72C4C" w:rsidP="00C72C4C" w:rsidRDefault="00C72C4C" w14:paraId="5589F483" w14:textId="77777777">
            <w:pPr>
              <w:jc w:val="both"/>
              <w:rPr>
                <w:rFonts w:cstheme="minorHAnsi"/>
                <w:sz w:val="20"/>
                <w:szCs w:val="20"/>
                <w:lang w:val="en-GB" w:eastAsia="en-GB"/>
              </w:rPr>
            </w:pPr>
            <w:r w:rsidRPr="002311BF">
              <w:rPr>
                <w:rFonts w:cstheme="minorHAnsi"/>
                <w:sz w:val="20"/>
                <w:szCs w:val="20"/>
                <w:lang w:val="en-GB" w:eastAsia="en-GB"/>
              </w:rPr>
              <w:t>This includes use of non-pharmacological treatments, with particular consideration of suitability for the NHS Type 2 Diabetes Path to Remission Programme (which is currently available in most of England and will be available nationwide by the end of 23/24).</w:t>
            </w:r>
          </w:p>
          <w:p w:rsidRPr="002311BF" w:rsidR="00C72C4C" w:rsidP="007522B6" w:rsidRDefault="00C72C4C" w14:paraId="287634A3" w14:textId="77777777">
            <w:pPr>
              <w:jc w:val="both"/>
              <w:rPr>
                <w:rFonts w:cstheme="minorHAnsi"/>
                <w:b/>
                <w:bCs/>
                <w:i/>
                <w:iCs/>
                <w:sz w:val="20"/>
                <w:szCs w:val="20"/>
                <w:lang w:val="en-GB" w:eastAsia="en-GB"/>
              </w:rPr>
            </w:pPr>
            <w:r w:rsidRPr="002311BF">
              <w:rPr>
                <w:rFonts w:cstheme="minorHAnsi"/>
                <w:b/>
                <w:bCs/>
                <w:i/>
                <w:iCs/>
                <w:sz w:val="20"/>
                <w:szCs w:val="20"/>
                <w:lang w:val="en-GB" w:eastAsia="en-GB"/>
              </w:rPr>
              <w:t>Glycaemia:</w:t>
            </w:r>
          </w:p>
          <w:p w:rsidRPr="002311BF" w:rsidR="00C72C4C" w:rsidP="00A02D5C" w:rsidRDefault="00C72C4C" w14:paraId="59CE0C08" w14:textId="68A5BFE2">
            <w:pPr>
              <w:pStyle w:val="ListParagraph"/>
              <w:numPr>
                <w:ilvl w:val="0"/>
                <w:numId w:val="40"/>
              </w:numPr>
              <w:jc w:val="both"/>
              <w:rPr>
                <w:rFonts w:cstheme="minorHAnsi"/>
                <w:sz w:val="20"/>
                <w:szCs w:val="20"/>
                <w:lang w:val="en-GB" w:eastAsia="en-GB"/>
              </w:rPr>
            </w:pPr>
            <w:r w:rsidRPr="002311BF">
              <w:rPr>
                <w:rFonts w:cstheme="minorHAnsi"/>
                <w:sz w:val="20"/>
                <w:szCs w:val="20"/>
                <w:lang w:val="en-GB" w:eastAsia="en-GB"/>
              </w:rPr>
              <w:t>In accordance with NICE NG28, individualised targets should be discussed and agreed. These should take into account the more aggressive nature of EOT2D and the high lifetime risk of complications</w:t>
            </w:r>
          </w:p>
          <w:p w:rsidRPr="002311BF" w:rsidR="00C72C4C" w:rsidP="00A02D5C" w:rsidRDefault="00C72C4C" w14:paraId="50B07F4C" w14:textId="48EC3951">
            <w:pPr>
              <w:pStyle w:val="ListParagraph"/>
              <w:numPr>
                <w:ilvl w:val="0"/>
                <w:numId w:val="40"/>
              </w:numPr>
              <w:jc w:val="both"/>
              <w:rPr>
                <w:rFonts w:cstheme="minorHAnsi"/>
                <w:sz w:val="20"/>
                <w:szCs w:val="20"/>
                <w:lang w:val="en-GB" w:eastAsia="en-GB"/>
              </w:rPr>
            </w:pPr>
            <w:r w:rsidRPr="002311BF">
              <w:rPr>
                <w:rFonts w:cstheme="minorHAnsi"/>
                <w:sz w:val="20"/>
                <w:szCs w:val="20"/>
                <w:lang w:val="en-GB" w:eastAsia="en-GB"/>
              </w:rPr>
              <w:t xml:space="preserve">Targets are therefore likely to be more intensive than those which may be typically used in people developing Type </w:t>
            </w:r>
            <w:r w:rsidRPr="002311BF">
              <w:rPr>
                <w:rFonts w:cstheme="minorHAnsi"/>
                <w:sz w:val="20"/>
                <w:szCs w:val="20"/>
                <w:lang w:val="en-GB" w:eastAsia="en-GB"/>
              </w:rPr>
              <w:lastRenderedPageBreak/>
              <w:t>2 diabetes at more advanced age</w:t>
            </w:r>
          </w:p>
          <w:p w:rsidRPr="002311BF" w:rsidR="00C72C4C" w:rsidP="00A02D5C" w:rsidRDefault="00C72C4C" w14:paraId="1E107222" w14:textId="29E85023">
            <w:pPr>
              <w:pStyle w:val="ListParagraph"/>
              <w:numPr>
                <w:ilvl w:val="0"/>
                <w:numId w:val="40"/>
              </w:numPr>
              <w:jc w:val="both"/>
              <w:rPr>
                <w:rFonts w:cstheme="minorHAnsi"/>
                <w:sz w:val="20"/>
                <w:szCs w:val="20"/>
                <w:lang w:val="en-GB" w:eastAsia="en-GB"/>
              </w:rPr>
            </w:pPr>
            <w:r w:rsidRPr="002311BF">
              <w:rPr>
                <w:rFonts w:cstheme="minorHAnsi"/>
                <w:sz w:val="20"/>
                <w:szCs w:val="20"/>
                <w:lang w:val="en-GB" w:eastAsia="en-GB"/>
              </w:rPr>
              <w:t>NICE Patient Decision Aid may support discussions on HbA1c</w:t>
            </w:r>
          </w:p>
          <w:p w:rsidRPr="002311BF" w:rsidR="00C72C4C" w:rsidP="00A02D5C" w:rsidRDefault="00C72C4C" w14:paraId="77F74EED" w14:textId="4B99C744">
            <w:pPr>
              <w:pStyle w:val="ListParagraph"/>
              <w:numPr>
                <w:ilvl w:val="0"/>
                <w:numId w:val="40"/>
              </w:numPr>
              <w:jc w:val="both"/>
              <w:rPr>
                <w:rFonts w:cstheme="minorHAnsi"/>
                <w:sz w:val="20"/>
                <w:szCs w:val="20"/>
                <w:lang w:val="en-GB" w:eastAsia="en-GB"/>
              </w:rPr>
            </w:pPr>
            <w:r w:rsidRPr="002311BF">
              <w:rPr>
                <w:rFonts w:cstheme="minorHAnsi"/>
                <w:sz w:val="20"/>
                <w:szCs w:val="20"/>
                <w:lang w:val="en-GB" w:eastAsia="en-GB"/>
              </w:rPr>
              <w:t>It is important to avoid therapeutic inertia and discuss treatment escalation promptly if individualised targets are not met</w:t>
            </w:r>
          </w:p>
          <w:p w:rsidRPr="002311BF" w:rsidR="00C72C4C" w:rsidP="00A02D5C" w:rsidRDefault="00C72C4C" w14:paraId="659BCC5D" w14:textId="4B71DB9C">
            <w:pPr>
              <w:pStyle w:val="ListParagraph"/>
              <w:numPr>
                <w:ilvl w:val="0"/>
                <w:numId w:val="40"/>
              </w:numPr>
              <w:jc w:val="both"/>
              <w:rPr>
                <w:rFonts w:cstheme="minorHAnsi"/>
                <w:sz w:val="20"/>
                <w:szCs w:val="20"/>
                <w:lang w:val="en-GB" w:eastAsia="en-GB"/>
              </w:rPr>
            </w:pPr>
            <w:r w:rsidRPr="002311BF">
              <w:rPr>
                <w:rFonts w:cstheme="minorHAnsi"/>
                <w:sz w:val="20"/>
                <w:szCs w:val="20"/>
                <w:lang w:val="en-GB" w:eastAsia="en-GB"/>
              </w:rPr>
              <w:t>Offer referral to Structured Education, taking into account individual needs and preferences (note the availability of nationally commissioned digital structured education)</w:t>
            </w:r>
          </w:p>
          <w:p w:rsidRPr="002311BF" w:rsidR="00C72C4C" w:rsidP="00C72C4C" w:rsidRDefault="00C72C4C" w14:paraId="24FBE5C7" w14:textId="77777777">
            <w:pPr>
              <w:jc w:val="both"/>
              <w:rPr>
                <w:rFonts w:cstheme="minorHAnsi"/>
                <w:b/>
                <w:bCs/>
                <w:i/>
                <w:iCs/>
                <w:sz w:val="20"/>
                <w:szCs w:val="20"/>
                <w:lang w:val="en-GB" w:eastAsia="en-GB"/>
              </w:rPr>
            </w:pPr>
            <w:r w:rsidRPr="002311BF">
              <w:rPr>
                <w:rFonts w:cstheme="minorHAnsi"/>
                <w:b/>
                <w:bCs/>
                <w:i/>
                <w:iCs/>
                <w:sz w:val="20"/>
                <w:szCs w:val="20"/>
                <w:lang w:val="en-GB" w:eastAsia="en-GB"/>
              </w:rPr>
              <w:t>Cardiovascular risk:</w:t>
            </w:r>
          </w:p>
          <w:p w:rsidRPr="002311BF" w:rsidR="00C72C4C" w:rsidP="00A02D5C" w:rsidRDefault="00C72C4C" w14:paraId="6EAABC89" w14:textId="15D1E2A3">
            <w:pPr>
              <w:pStyle w:val="ListParagraph"/>
              <w:numPr>
                <w:ilvl w:val="0"/>
                <w:numId w:val="41"/>
              </w:numPr>
              <w:jc w:val="both"/>
              <w:rPr>
                <w:rFonts w:cstheme="minorHAnsi"/>
                <w:sz w:val="20"/>
                <w:szCs w:val="20"/>
                <w:lang w:val="en-GB" w:eastAsia="en-GB"/>
              </w:rPr>
            </w:pPr>
            <w:r w:rsidRPr="002311BF">
              <w:rPr>
                <w:rFonts w:cstheme="minorHAnsi"/>
                <w:sz w:val="20"/>
                <w:szCs w:val="20"/>
                <w:lang w:val="en-GB" w:eastAsia="en-GB"/>
              </w:rPr>
              <w:t>Lipid-lowering therapies (e.g., statins) should be offered in line with NICE CG181</w:t>
            </w:r>
            <w:r w:rsidRPr="00000181" w:rsidR="00000181">
              <w:rPr>
                <w:rFonts w:cstheme="minorHAnsi"/>
                <w:sz w:val="20"/>
                <w:szCs w:val="20"/>
                <w:vertAlign w:val="superscript"/>
                <w:lang w:val="en-GB" w:eastAsia="en-GB"/>
              </w:rPr>
              <w:t>6</w:t>
            </w:r>
          </w:p>
          <w:p w:rsidRPr="002311BF" w:rsidR="00C72C4C" w:rsidP="00A02D5C" w:rsidRDefault="00C72C4C" w14:paraId="270FCB48" w14:textId="5799E2AE">
            <w:pPr>
              <w:pStyle w:val="ListParagraph"/>
              <w:numPr>
                <w:ilvl w:val="0"/>
                <w:numId w:val="41"/>
              </w:numPr>
              <w:jc w:val="both"/>
              <w:rPr>
                <w:rFonts w:cstheme="minorHAnsi"/>
                <w:sz w:val="20"/>
                <w:szCs w:val="20"/>
                <w:lang w:val="en-GB" w:eastAsia="en-GB"/>
              </w:rPr>
            </w:pPr>
            <w:r w:rsidRPr="002311BF">
              <w:rPr>
                <w:rFonts w:cstheme="minorHAnsi"/>
                <w:sz w:val="20"/>
                <w:szCs w:val="20"/>
                <w:lang w:val="en-GB" w:eastAsia="en-GB"/>
              </w:rPr>
              <w:t>SGLT2 inhibitors should be offered in line with NICE NG28</w:t>
            </w:r>
            <w:r w:rsidRPr="00000181" w:rsidR="00CE44B1">
              <w:rPr>
                <w:rFonts w:cstheme="minorHAnsi"/>
                <w:sz w:val="20"/>
                <w:szCs w:val="20"/>
                <w:vertAlign w:val="superscript"/>
                <w:lang w:val="en-GB" w:eastAsia="en-GB"/>
              </w:rPr>
              <w:t>6</w:t>
            </w:r>
            <w:r w:rsidRPr="002311BF">
              <w:rPr>
                <w:rFonts w:cstheme="minorHAnsi"/>
                <w:sz w:val="20"/>
                <w:szCs w:val="20"/>
                <w:lang w:val="en-GB" w:eastAsia="en-GB"/>
              </w:rPr>
              <w:t xml:space="preserve"> for addressing cardiovascular risk (and renal protection in CKD)</w:t>
            </w:r>
          </w:p>
          <w:p w:rsidRPr="002311BF" w:rsidR="00C72C4C" w:rsidP="00A02D5C" w:rsidRDefault="00C72C4C" w14:paraId="23F65835" w14:textId="65385300">
            <w:pPr>
              <w:pStyle w:val="ListParagraph"/>
              <w:numPr>
                <w:ilvl w:val="0"/>
                <w:numId w:val="41"/>
              </w:numPr>
              <w:jc w:val="both"/>
              <w:rPr>
                <w:rFonts w:cstheme="minorHAnsi"/>
                <w:sz w:val="20"/>
                <w:szCs w:val="20"/>
                <w:lang w:val="en-GB" w:eastAsia="en-GB"/>
              </w:rPr>
            </w:pPr>
            <w:r w:rsidRPr="002311BF">
              <w:rPr>
                <w:rFonts w:cstheme="minorHAnsi"/>
                <w:sz w:val="20"/>
                <w:szCs w:val="20"/>
                <w:lang w:val="en-GB" w:eastAsia="en-GB"/>
              </w:rPr>
              <w:t>NICE NG1368 recommendations for the diagnosis, treatment and monitoring of hypertension should be followed</w:t>
            </w:r>
            <w:r w:rsidR="00000181">
              <w:rPr>
                <w:rStyle w:val="FootnoteReference"/>
                <w:rFonts w:cstheme="minorHAnsi"/>
                <w:sz w:val="20"/>
                <w:szCs w:val="20"/>
                <w:lang w:val="en-GB" w:eastAsia="en-GB"/>
              </w:rPr>
              <w:footnoteReference w:id="7"/>
            </w:r>
          </w:p>
          <w:p w:rsidRPr="00AB4C7D" w:rsidR="003D6667" w:rsidP="00AB4C7D" w:rsidRDefault="00C72C4C" w14:paraId="504C090F" w14:textId="23EAD983">
            <w:pPr>
              <w:pStyle w:val="ListParagraph"/>
              <w:numPr>
                <w:ilvl w:val="0"/>
                <w:numId w:val="41"/>
              </w:numPr>
              <w:jc w:val="both"/>
              <w:rPr>
                <w:rFonts w:cstheme="minorHAnsi"/>
                <w:sz w:val="20"/>
                <w:szCs w:val="20"/>
                <w:lang w:val="en-GB" w:eastAsia="en-GB"/>
              </w:rPr>
            </w:pPr>
            <w:r w:rsidRPr="002311BF">
              <w:rPr>
                <w:rFonts w:cstheme="minorHAnsi"/>
                <w:sz w:val="20"/>
                <w:szCs w:val="20"/>
                <w:lang w:val="en-GB" w:eastAsia="en-GB"/>
              </w:rPr>
              <w:t>Offer support with smoking cessation including referral / signposting as appropriate</w:t>
            </w:r>
          </w:p>
          <w:p w:rsidRPr="002311BF" w:rsidR="00B214DF" w:rsidP="00C72C4C" w:rsidRDefault="00C72C4C" w14:paraId="2627C6D2" w14:textId="77777777">
            <w:pPr>
              <w:jc w:val="both"/>
              <w:rPr>
                <w:rFonts w:cstheme="minorHAnsi"/>
                <w:b/>
                <w:bCs/>
                <w:i/>
                <w:iCs/>
                <w:sz w:val="20"/>
                <w:szCs w:val="20"/>
                <w:lang w:val="en-GB" w:eastAsia="en-GB"/>
              </w:rPr>
            </w:pPr>
            <w:r w:rsidRPr="002311BF">
              <w:rPr>
                <w:rFonts w:cstheme="minorHAnsi"/>
                <w:b/>
                <w:bCs/>
                <w:i/>
                <w:iCs/>
                <w:sz w:val="20"/>
                <w:szCs w:val="20"/>
                <w:lang w:val="en-GB" w:eastAsia="en-GB"/>
              </w:rPr>
              <w:t>Weight:</w:t>
            </w:r>
          </w:p>
          <w:p w:rsidRPr="002311BF" w:rsidR="00C72C4C" w:rsidP="00A02D5C" w:rsidRDefault="00C72C4C" w14:paraId="38944562" w14:textId="414599BD">
            <w:pPr>
              <w:pStyle w:val="ListParagraph"/>
              <w:numPr>
                <w:ilvl w:val="0"/>
                <w:numId w:val="42"/>
              </w:numPr>
              <w:jc w:val="both"/>
              <w:rPr>
                <w:rFonts w:cstheme="minorHAnsi"/>
                <w:b/>
                <w:bCs/>
                <w:i/>
                <w:iCs/>
                <w:sz w:val="20"/>
                <w:szCs w:val="20"/>
                <w:lang w:val="en-GB" w:eastAsia="en-GB"/>
              </w:rPr>
            </w:pPr>
            <w:r w:rsidRPr="002311BF">
              <w:rPr>
                <w:rFonts w:cstheme="minorHAnsi"/>
                <w:sz w:val="20"/>
                <w:szCs w:val="20"/>
                <w:lang w:val="en-GB" w:eastAsia="en-GB"/>
              </w:rPr>
              <w:t>Weight management support is likely to be indicated in the majority of people with EOT2D. This may include pharmacological interventions (in line with NICE guidance) and/or appropriate referral to weight management services</w:t>
            </w:r>
          </w:p>
          <w:p w:rsidRPr="002311BF" w:rsidR="00C72C4C" w:rsidP="00A02D5C" w:rsidRDefault="00C72C4C" w14:paraId="2B3694BF" w14:textId="4590E73C">
            <w:pPr>
              <w:pStyle w:val="ListParagraph"/>
              <w:numPr>
                <w:ilvl w:val="0"/>
                <w:numId w:val="42"/>
              </w:numPr>
              <w:jc w:val="both"/>
              <w:rPr>
                <w:rFonts w:cstheme="minorHAnsi"/>
                <w:sz w:val="20"/>
                <w:szCs w:val="20"/>
                <w:lang w:val="en-GB" w:eastAsia="en-GB"/>
              </w:rPr>
            </w:pPr>
            <w:r w:rsidRPr="002311BF">
              <w:rPr>
                <w:rFonts w:cstheme="minorHAnsi"/>
                <w:sz w:val="20"/>
                <w:szCs w:val="20"/>
                <w:lang w:val="en-GB" w:eastAsia="en-GB"/>
              </w:rPr>
              <w:t>Given the high prevalence of obesity in people with EOT2D, a high proportion may be eligible for GLP-1 receptor agonist treatment, in line with NICE guidance. This may be as an intensification of glucose-lowering therapy in accordance with NICE NG28, or as a treatment for weight management in line with relevant NICE guidance and technology appraisals.</w:t>
            </w:r>
          </w:p>
          <w:p w:rsidRPr="002311BF" w:rsidR="00C72C4C" w:rsidP="00A02D5C" w:rsidRDefault="00C72C4C" w14:paraId="67F53C8D" w14:textId="7BCDDFFA">
            <w:pPr>
              <w:pStyle w:val="ListParagraph"/>
              <w:numPr>
                <w:ilvl w:val="0"/>
                <w:numId w:val="35"/>
              </w:numPr>
              <w:jc w:val="both"/>
              <w:rPr>
                <w:rFonts w:cstheme="minorHAnsi"/>
                <w:b/>
                <w:bCs/>
                <w:sz w:val="20"/>
                <w:szCs w:val="20"/>
                <w:lang w:val="en-GB" w:eastAsia="en-GB"/>
              </w:rPr>
            </w:pPr>
            <w:r w:rsidRPr="002311BF">
              <w:rPr>
                <w:rFonts w:cstheme="minorHAnsi"/>
                <w:b/>
                <w:bCs/>
                <w:sz w:val="20"/>
                <w:szCs w:val="20"/>
                <w:lang w:val="en-GB" w:eastAsia="en-GB"/>
              </w:rPr>
              <w:t>Psychological wellbeing unmet and social needs</w:t>
            </w:r>
          </w:p>
          <w:p w:rsidRPr="002311BF" w:rsidR="00C72C4C" w:rsidP="00786720" w:rsidRDefault="00C72C4C" w14:paraId="4620CCE8" w14:textId="15734048">
            <w:pPr>
              <w:jc w:val="both"/>
              <w:rPr>
                <w:rFonts w:cstheme="minorHAnsi"/>
                <w:sz w:val="20"/>
                <w:szCs w:val="20"/>
                <w:lang w:val="en-GB" w:eastAsia="en-GB"/>
              </w:rPr>
            </w:pPr>
            <w:r w:rsidRPr="002311BF">
              <w:rPr>
                <w:rFonts w:cstheme="minorHAnsi"/>
                <w:sz w:val="20"/>
                <w:szCs w:val="20"/>
                <w:lang w:val="en-GB" w:eastAsia="en-GB"/>
              </w:rPr>
              <w:t>Assess unmet psychological needs and manage accordingly</w:t>
            </w:r>
          </w:p>
          <w:p w:rsidRPr="002311BF" w:rsidR="00C72C4C" w:rsidP="00786720" w:rsidRDefault="00C72C4C" w14:paraId="7361B865" w14:textId="1A0F4A2A">
            <w:pPr>
              <w:jc w:val="both"/>
              <w:rPr>
                <w:rFonts w:cstheme="minorHAnsi"/>
                <w:sz w:val="20"/>
                <w:szCs w:val="20"/>
                <w:lang w:val="en-GB" w:eastAsia="en-GB"/>
              </w:rPr>
            </w:pPr>
            <w:r w:rsidRPr="002311BF">
              <w:rPr>
                <w:rFonts w:cstheme="minorHAnsi"/>
                <w:sz w:val="20"/>
                <w:szCs w:val="20"/>
                <w:lang w:val="en-GB" w:eastAsia="en-GB"/>
              </w:rPr>
              <w:t>Explore unmet social needs and consider social prescribing and other support services</w:t>
            </w:r>
          </w:p>
          <w:p w:rsidR="00B10AE1" w:rsidP="00786720" w:rsidRDefault="00C72C4C" w14:paraId="6553162D" w14:textId="30AEE5CB">
            <w:pPr>
              <w:jc w:val="both"/>
              <w:rPr>
                <w:rFonts w:cstheme="minorHAnsi"/>
                <w:sz w:val="20"/>
                <w:szCs w:val="20"/>
                <w:lang w:val="en-GB" w:eastAsia="en-GB"/>
              </w:rPr>
            </w:pPr>
            <w:r w:rsidRPr="002311BF">
              <w:rPr>
                <w:rFonts w:cstheme="minorHAnsi"/>
                <w:sz w:val="20"/>
                <w:szCs w:val="20"/>
                <w:lang w:val="en-GB" w:eastAsia="en-GB"/>
              </w:rPr>
              <w:t>Consider availability and opportunities for peer support</w:t>
            </w:r>
          </w:p>
          <w:p w:rsidR="00786720" w:rsidP="00786720" w:rsidRDefault="00786720" w14:paraId="22F69E5C" w14:textId="77777777">
            <w:pPr>
              <w:jc w:val="both"/>
              <w:rPr>
                <w:rFonts w:cstheme="minorHAnsi"/>
                <w:sz w:val="20"/>
                <w:szCs w:val="20"/>
                <w:lang w:val="en-GB" w:eastAsia="en-GB"/>
              </w:rPr>
            </w:pPr>
          </w:p>
          <w:p w:rsidRPr="00EA2F7B" w:rsidR="002311BF" w:rsidP="002311BF" w:rsidRDefault="002311BF" w14:paraId="616F8610" w14:textId="567E6C70">
            <w:pPr>
              <w:widowControl/>
              <w:jc w:val="both"/>
              <w:rPr>
                <w:rFonts w:cstheme="minorHAnsi"/>
                <w:sz w:val="20"/>
                <w:szCs w:val="20"/>
                <w:lang w:val="en-GB"/>
              </w:rPr>
            </w:pPr>
            <w:r w:rsidRPr="00EA2F7B">
              <w:rPr>
                <w:rFonts w:cstheme="minorHAnsi"/>
                <w:b/>
                <w:bCs/>
                <w:sz w:val="20"/>
                <w:szCs w:val="20"/>
                <w:lang w:val="en-GB"/>
              </w:rPr>
              <w:t xml:space="preserve">Funding and commissioning: </w:t>
            </w:r>
            <w:r w:rsidRPr="00EA2F7B">
              <w:rPr>
                <w:rFonts w:cstheme="minorHAnsi"/>
                <w:sz w:val="20"/>
                <w:szCs w:val="20"/>
                <w:lang w:val="en-GB"/>
              </w:rPr>
              <w:t>Funding allocations for systems have been based on the number of people with EOT2D in each system</w:t>
            </w:r>
            <w:r w:rsidR="000679F3">
              <w:rPr>
                <w:rFonts w:cstheme="minorHAnsi"/>
                <w:sz w:val="20"/>
                <w:szCs w:val="20"/>
                <w:lang w:val="en-GB"/>
              </w:rPr>
              <w:t xml:space="preserve"> (</w:t>
            </w:r>
            <w:r w:rsidRPr="00EA2F7B" w:rsidR="000679F3">
              <w:rPr>
                <w:rFonts w:cstheme="minorHAnsi"/>
                <w:sz w:val="20"/>
                <w:szCs w:val="20"/>
                <w:lang w:val="en-GB"/>
              </w:rPr>
              <w:t>NDA quarterly data – 2022/23 Q3</w:t>
            </w:r>
            <w:r w:rsidR="000679F3">
              <w:rPr>
                <w:rFonts w:cstheme="minorHAnsi"/>
                <w:sz w:val="20"/>
                <w:szCs w:val="20"/>
                <w:lang w:val="en-GB"/>
              </w:rPr>
              <w:t>)</w:t>
            </w:r>
            <w:r w:rsidRPr="00EA2F7B">
              <w:rPr>
                <w:rFonts w:cstheme="minorHAnsi"/>
                <w:sz w:val="20"/>
                <w:szCs w:val="20"/>
                <w:lang w:val="en-GB"/>
              </w:rPr>
              <w:t xml:space="preserve">. These are the minimum allocations (initially £52 per adult with EOT2D) which may increase depending on take-up of the offer across all ICBs. </w:t>
            </w:r>
          </w:p>
          <w:p w:rsidR="000679F3" w:rsidP="002311BF" w:rsidRDefault="000679F3" w14:paraId="7DFF07BA" w14:textId="77777777">
            <w:pPr>
              <w:widowControl/>
              <w:jc w:val="both"/>
              <w:rPr>
                <w:rFonts w:cstheme="minorHAnsi"/>
                <w:sz w:val="20"/>
                <w:szCs w:val="20"/>
                <w:lang w:val="en-GB"/>
              </w:rPr>
            </w:pPr>
          </w:p>
          <w:p w:rsidR="002311BF" w:rsidP="002311BF" w:rsidRDefault="002311BF" w14:paraId="0FCDDA8A" w14:textId="77777777">
            <w:pPr>
              <w:widowControl/>
              <w:jc w:val="both"/>
              <w:rPr>
                <w:rFonts w:cstheme="minorHAnsi"/>
                <w:sz w:val="20"/>
                <w:szCs w:val="20"/>
                <w:lang w:val="en-GB"/>
              </w:rPr>
            </w:pPr>
            <w:r w:rsidRPr="00EA2F7B">
              <w:rPr>
                <w:rFonts w:cstheme="minorHAnsi"/>
                <w:sz w:val="20"/>
                <w:szCs w:val="20"/>
                <w:lang w:val="en-GB"/>
              </w:rPr>
              <w:t xml:space="preserve">All systems receiving funding in 2023/24 will receive the same level of funding in 2024/25 (subject to annual confirmation). There will be no future opportunities for expressing interest beyond August 2023. </w:t>
            </w:r>
          </w:p>
          <w:p w:rsidRPr="00EA2F7B" w:rsidR="005A2559" w:rsidP="002311BF" w:rsidRDefault="005A2559" w14:paraId="4C2D6673" w14:textId="77777777">
            <w:pPr>
              <w:widowControl/>
              <w:jc w:val="both"/>
              <w:rPr>
                <w:rFonts w:cstheme="minorHAnsi"/>
                <w:sz w:val="20"/>
                <w:szCs w:val="20"/>
                <w:lang w:val="en-GB"/>
              </w:rPr>
            </w:pPr>
          </w:p>
          <w:p w:rsidR="002311BF" w:rsidP="002311BF" w:rsidRDefault="002311BF" w14:paraId="674596AE" w14:textId="77777777">
            <w:pPr>
              <w:widowControl/>
              <w:jc w:val="both"/>
              <w:rPr>
                <w:rFonts w:cstheme="minorHAnsi"/>
                <w:sz w:val="20"/>
                <w:szCs w:val="20"/>
                <w:lang w:val="en-GB"/>
              </w:rPr>
            </w:pPr>
            <w:r w:rsidRPr="00EA2F7B">
              <w:rPr>
                <w:rFonts w:cstheme="minorHAnsi"/>
                <w:sz w:val="20"/>
                <w:szCs w:val="20"/>
                <w:lang w:val="en-GB"/>
              </w:rPr>
              <w:t xml:space="preserve">Although systems should consider sustainability from the outset, there is no specific requirement for systems to commit to sustaining the service following the period of national funding. </w:t>
            </w:r>
          </w:p>
          <w:p w:rsidRPr="00EA2F7B" w:rsidR="000679F3" w:rsidP="002311BF" w:rsidRDefault="000679F3" w14:paraId="55DF6B1D" w14:textId="77777777">
            <w:pPr>
              <w:widowControl/>
              <w:jc w:val="both"/>
              <w:rPr>
                <w:rFonts w:cstheme="minorHAnsi"/>
                <w:sz w:val="20"/>
                <w:szCs w:val="20"/>
                <w:lang w:val="en-GB"/>
              </w:rPr>
            </w:pPr>
          </w:p>
          <w:p w:rsidR="002311BF" w:rsidP="002311BF" w:rsidRDefault="002311BF" w14:paraId="201A93E1" w14:textId="77777777">
            <w:pPr>
              <w:widowControl/>
              <w:jc w:val="both"/>
              <w:rPr>
                <w:rFonts w:cstheme="minorHAnsi"/>
                <w:sz w:val="20"/>
                <w:szCs w:val="20"/>
                <w:lang w:val="en-GB"/>
              </w:rPr>
            </w:pPr>
            <w:r w:rsidRPr="00EA2F7B">
              <w:rPr>
                <w:rFonts w:cstheme="minorHAnsi"/>
                <w:b/>
                <w:bCs/>
                <w:sz w:val="20"/>
                <w:szCs w:val="20"/>
                <w:lang w:val="en-GB"/>
              </w:rPr>
              <w:t xml:space="preserve">Reporting: </w:t>
            </w:r>
            <w:r w:rsidRPr="00EA2F7B">
              <w:rPr>
                <w:rFonts w:cstheme="minorHAnsi"/>
                <w:sz w:val="20"/>
                <w:szCs w:val="20"/>
                <w:lang w:val="en-GB"/>
              </w:rPr>
              <w:t xml:space="preserve">Evaluation of the service will be supported by the National Diabetes Audit as well as data from nationally commissioned services (e.g., NHS Type 2 Diabetes Path to Remission Programme). It is recommended that systems also monitor applicable metrics (such as those listed in the section above, in addition to others considered relevant) to assess performance, identify need and inform ongoing quality improvement. This may also support local service sustainability. Systems participating must confirm mobilisation but no further reporting will be required. </w:t>
            </w:r>
          </w:p>
          <w:p w:rsidRPr="00EA2F7B" w:rsidR="008D5224" w:rsidP="002311BF" w:rsidRDefault="008D5224" w14:paraId="4FCF0150" w14:textId="77777777">
            <w:pPr>
              <w:widowControl/>
              <w:jc w:val="both"/>
              <w:rPr>
                <w:rFonts w:cstheme="minorHAnsi"/>
                <w:sz w:val="20"/>
                <w:szCs w:val="20"/>
                <w:lang w:val="en-GB"/>
              </w:rPr>
            </w:pPr>
          </w:p>
          <w:p w:rsidRPr="00EA2F7B" w:rsidR="002311BF" w:rsidP="002311BF" w:rsidRDefault="002311BF" w14:paraId="36A7D61C" w14:textId="77777777">
            <w:pPr>
              <w:widowControl/>
              <w:jc w:val="both"/>
              <w:rPr>
                <w:rFonts w:cstheme="minorHAnsi"/>
                <w:sz w:val="20"/>
                <w:szCs w:val="20"/>
                <w:lang w:val="en-GB"/>
              </w:rPr>
            </w:pPr>
            <w:r w:rsidRPr="00EA2F7B">
              <w:rPr>
                <w:rFonts w:cstheme="minorHAnsi"/>
                <w:b/>
                <w:bCs/>
                <w:sz w:val="20"/>
                <w:szCs w:val="20"/>
                <w:lang w:val="en-GB"/>
              </w:rPr>
              <w:t>Equity</w:t>
            </w:r>
            <w:r w:rsidRPr="00EA2F7B">
              <w:rPr>
                <w:rFonts w:cstheme="minorHAnsi"/>
                <w:sz w:val="20"/>
                <w:szCs w:val="20"/>
                <w:lang w:val="en-GB"/>
              </w:rPr>
              <w:t xml:space="preserve">: Service providers should make sure systems are in place to address health inequalities and ensure equity of access to the enhanced support and any treatment interventions. They should deliver the service in a culturally sensitive way to meet the needs of their local, diverse populations. </w:t>
            </w:r>
          </w:p>
          <w:p w:rsidRPr="00EA2F7B" w:rsidR="002311BF" w:rsidP="002311BF" w:rsidRDefault="002311BF" w14:paraId="5FCDD2ED" w14:textId="77777777">
            <w:pPr>
              <w:widowControl/>
              <w:jc w:val="both"/>
              <w:rPr>
                <w:rFonts w:cstheme="minorHAnsi"/>
                <w:sz w:val="20"/>
                <w:szCs w:val="20"/>
                <w:lang w:val="en-GB"/>
              </w:rPr>
            </w:pPr>
            <w:r w:rsidRPr="00EA2F7B">
              <w:rPr>
                <w:rFonts w:cstheme="minorHAnsi"/>
                <w:b/>
                <w:bCs/>
                <w:sz w:val="20"/>
                <w:szCs w:val="20"/>
                <w:lang w:val="en-GB"/>
              </w:rPr>
              <w:t>Supporting resources</w:t>
            </w:r>
            <w:r w:rsidRPr="00EA2F7B">
              <w:rPr>
                <w:rFonts w:cstheme="minorHAnsi"/>
                <w:sz w:val="20"/>
                <w:szCs w:val="20"/>
                <w:lang w:val="en-GB"/>
              </w:rPr>
              <w:t xml:space="preserve">: The following documents are enclosed: </w:t>
            </w:r>
          </w:p>
          <w:p w:rsidRPr="00EA2F7B" w:rsidR="002311BF" w:rsidP="0BC45666" w:rsidRDefault="002311BF" w14:paraId="7621B75E" w14:textId="6D3E4A88">
            <w:pPr>
              <w:widowControl w:val="1"/>
              <w:jc w:val="both"/>
              <w:rPr>
                <w:rFonts w:cs="Calibri" w:cstheme="minorAscii"/>
                <w:sz w:val="20"/>
                <w:szCs w:val="20"/>
                <w:lang w:val="en-GB"/>
              </w:rPr>
            </w:pPr>
            <w:r w:rsidRPr="0BC45666" w:rsidR="31569F51">
              <w:rPr>
                <w:rFonts w:cs="Calibri" w:cstheme="minorAscii"/>
                <w:sz w:val="20"/>
                <w:szCs w:val="20"/>
                <w:lang w:val="en-GB"/>
              </w:rPr>
              <w:t xml:space="preserve">• </w:t>
            </w:r>
            <w:r w:rsidRPr="0BC45666" w:rsidR="31569F51">
              <w:rPr>
                <w:rFonts w:cs="Calibri" w:cstheme="minorAscii"/>
                <w:b w:val="1"/>
                <w:bCs w:val="1"/>
                <w:sz w:val="20"/>
                <w:szCs w:val="20"/>
                <w:lang w:val="en-GB"/>
              </w:rPr>
              <w:t>A</w:t>
            </w:r>
            <w:r w:rsidRPr="0BC45666" w:rsidR="1CF20C90">
              <w:rPr>
                <w:rFonts w:cs="Calibri" w:cstheme="minorAscii"/>
                <w:b w:val="1"/>
                <w:bCs w:val="1"/>
                <w:sz w:val="20"/>
                <w:szCs w:val="20"/>
                <w:lang w:val="en-GB"/>
              </w:rPr>
              <w:t>ppendix</w:t>
            </w:r>
            <w:r w:rsidRPr="0BC45666" w:rsidR="31569F51">
              <w:rPr>
                <w:rFonts w:cs="Calibri" w:cstheme="minorAscii"/>
                <w:b w:val="1"/>
                <w:bCs w:val="1"/>
                <w:sz w:val="20"/>
                <w:szCs w:val="20"/>
                <w:lang w:val="en-GB"/>
              </w:rPr>
              <w:t xml:space="preserve"> </w:t>
            </w:r>
            <w:r w:rsidRPr="0BC45666" w:rsidR="059C5AB2">
              <w:rPr>
                <w:rFonts w:cs="Calibri" w:cstheme="minorAscii"/>
                <w:b w:val="1"/>
                <w:bCs w:val="1"/>
                <w:sz w:val="20"/>
                <w:szCs w:val="20"/>
                <w:lang w:val="en-GB"/>
              </w:rPr>
              <w:t>IV</w:t>
            </w:r>
            <w:r w:rsidRPr="0BC45666" w:rsidR="31569F51">
              <w:rPr>
                <w:rFonts w:cs="Calibri" w:cstheme="minorAscii"/>
                <w:b w:val="1"/>
                <w:bCs w:val="1"/>
                <w:sz w:val="20"/>
                <w:szCs w:val="20"/>
                <w:lang w:val="en-GB"/>
              </w:rPr>
              <w:t xml:space="preserve">: </w:t>
            </w:r>
            <w:r w:rsidRPr="0BC45666" w:rsidR="31569F51">
              <w:rPr>
                <w:rFonts w:cs="Calibri" w:cstheme="minorAscii"/>
                <w:sz w:val="20"/>
                <w:szCs w:val="20"/>
                <w:lang w:val="en-GB"/>
              </w:rPr>
              <w:t xml:space="preserve">Example of Supporting Information for Clinical Reviews </w:t>
            </w:r>
          </w:p>
          <w:p w:rsidRPr="00EA2F7B" w:rsidR="002311BF" w:rsidP="0BC45666" w:rsidRDefault="002311BF" w14:paraId="06849939" w14:textId="7284025F">
            <w:pPr>
              <w:pStyle w:val="Normal"/>
              <w:widowControl w:val="1"/>
              <w:jc w:val="both"/>
              <w:rPr>
                <w:rFonts w:cs="Calibri" w:cstheme="minorAscii"/>
                <w:sz w:val="20"/>
                <w:szCs w:val="20"/>
                <w:lang w:val="en-GB"/>
              </w:rPr>
            </w:pPr>
            <w:r w:rsidRPr="0BC45666" w:rsidR="31569F51">
              <w:rPr>
                <w:rFonts w:cs="Calibri" w:cstheme="minorAscii"/>
                <w:sz w:val="20"/>
                <w:szCs w:val="20"/>
                <w:lang w:val="en-GB"/>
              </w:rPr>
              <w:t xml:space="preserve">• </w:t>
            </w:r>
            <w:r w:rsidRPr="0BC45666" w:rsidR="1DB4D366">
              <w:rPr>
                <w:rFonts w:cs="Calibri" w:cstheme="minorAscii"/>
                <w:b w:val="1"/>
                <w:bCs w:val="1"/>
                <w:sz w:val="20"/>
                <w:szCs w:val="20"/>
                <w:lang w:val="en-GB"/>
              </w:rPr>
              <w:t>Appendix</w:t>
            </w:r>
            <w:r w:rsidRPr="0BC45666" w:rsidR="31569F51">
              <w:rPr>
                <w:rFonts w:cs="Calibri" w:cstheme="minorAscii"/>
                <w:b w:val="1"/>
                <w:bCs w:val="1"/>
                <w:sz w:val="20"/>
                <w:szCs w:val="20"/>
                <w:lang w:val="en-GB"/>
              </w:rPr>
              <w:t xml:space="preserve"> </w:t>
            </w:r>
            <w:r w:rsidRPr="0BC45666" w:rsidR="3B319991">
              <w:rPr>
                <w:rFonts w:cs="Calibri" w:cstheme="minorAscii"/>
                <w:b w:val="1"/>
                <w:bCs w:val="1"/>
                <w:sz w:val="20"/>
                <w:szCs w:val="20"/>
                <w:lang w:val="en-GB"/>
              </w:rPr>
              <w:t>V</w:t>
            </w:r>
            <w:r w:rsidRPr="0BC45666" w:rsidR="31569F51">
              <w:rPr>
                <w:rFonts w:cs="Calibri" w:cstheme="minorAscii"/>
                <w:b w:val="1"/>
                <w:bCs w:val="1"/>
                <w:sz w:val="20"/>
                <w:szCs w:val="20"/>
                <w:lang w:val="en-GB"/>
              </w:rPr>
              <w:t>:</w:t>
            </w:r>
            <w:r w:rsidRPr="0BC45666" w:rsidR="42FC09A9">
              <w:rPr>
                <w:rFonts w:cs="Calibri" w:cstheme="minorAscii"/>
                <w:sz w:val="20"/>
                <w:szCs w:val="20"/>
                <w:lang w:val="en-GB"/>
              </w:rPr>
              <w:t xml:space="preserve"> </w:t>
            </w:r>
            <w:hyperlink r:id="R8c9d7362fa1f4c5f">
              <w:r w:rsidRPr="0BC45666" w:rsidR="42FC09A9">
                <w:rPr>
                  <w:rStyle w:val="Hyperlink"/>
                  <w:rFonts w:ascii="Calibri" w:hAnsi="Calibri" w:eastAsia="Calibri" w:cs="Calibri"/>
                  <w:noProof w:val="0"/>
                  <w:sz w:val="20"/>
                  <w:szCs w:val="20"/>
                  <w:lang w:val="en-GB"/>
                </w:rPr>
                <w:t>Prevalence Data and Minimum ICB Funding Allocations.</w:t>
              </w:r>
            </w:hyperlink>
            <w:r w:rsidRPr="0BC45666" w:rsidR="42FC09A9">
              <w:rPr>
                <w:rFonts w:cs="Calibri" w:cstheme="minorAscii"/>
                <w:sz w:val="20"/>
                <w:szCs w:val="20"/>
                <w:lang w:val="en-GB"/>
              </w:rPr>
              <w:t xml:space="preserve">  </w:t>
            </w:r>
            <w:r w:rsidRPr="0BC45666" w:rsidR="31569F51">
              <w:rPr>
                <w:rFonts w:cs="Calibri" w:cstheme="minorAscii"/>
                <w:sz w:val="20"/>
                <w:szCs w:val="20"/>
                <w:lang w:val="en-GB"/>
              </w:rPr>
              <w:t xml:space="preserve"> </w:t>
            </w:r>
          </w:p>
          <w:p w:rsidRPr="00EA2F7B" w:rsidR="002311BF" w:rsidP="0BC45666" w:rsidRDefault="002311BF" w14:paraId="27F6CDCA" w14:textId="706C2A34">
            <w:pPr>
              <w:pStyle w:val="Normal"/>
              <w:widowControl w:val="1"/>
              <w:jc w:val="both"/>
              <w:rPr>
                <w:rFonts w:cs="Calibri" w:cstheme="minorAscii"/>
                <w:sz w:val="20"/>
                <w:szCs w:val="20"/>
                <w:lang w:val="en-GB"/>
              </w:rPr>
            </w:pPr>
            <w:r w:rsidRPr="0BC45666" w:rsidR="31569F51">
              <w:rPr>
                <w:rFonts w:cs="Calibri" w:cstheme="minorAscii"/>
                <w:sz w:val="20"/>
                <w:szCs w:val="20"/>
                <w:lang w:val="en-GB"/>
              </w:rPr>
              <w:t xml:space="preserve">• </w:t>
            </w:r>
            <w:r w:rsidRPr="0BC45666" w:rsidR="65F09CFE">
              <w:rPr>
                <w:rFonts w:cs="Calibri" w:cstheme="minorAscii"/>
                <w:b w:val="1"/>
                <w:bCs w:val="1"/>
                <w:sz w:val="20"/>
                <w:szCs w:val="20"/>
                <w:lang w:val="en-GB"/>
              </w:rPr>
              <w:t>Appendix</w:t>
            </w:r>
            <w:r w:rsidRPr="0BC45666" w:rsidR="31569F51">
              <w:rPr>
                <w:rFonts w:cs="Calibri" w:cstheme="minorAscii"/>
                <w:b w:val="1"/>
                <w:bCs w:val="1"/>
                <w:sz w:val="20"/>
                <w:szCs w:val="20"/>
                <w:lang w:val="en-GB"/>
              </w:rPr>
              <w:t xml:space="preserve"> </w:t>
            </w:r>
            <w:r w:rsidRPr="0BC45666" w:rsidR="71C118F0">
              <w:rPr>
                <w:rFonts w:cs="Calibri" w:cstheme="minorAscii"/>
                <w:b w:val="1"/>
                <w:bCs w:val="1"/>
                <w:sz w:val="20"/>
                <w:szCs w:val="20"/>
                <w:lang w:val="en-GB"/>
              </w:rPr>
              <w:t>VI</w:t>
            </w:r>
            <w:r w:rsidRPr="0BC45666" w:rsidR="31569F51">
              <w:rPr>
                <w:rFonts w:cs="Calibri" w:cstheme="minorAscii"/>
                <w:b w:val="1"/>
                <w:bCs w:val="1"/>
                <w:sz w:val="20"/>
                <w:szCs w:val="20"/>
                <w:lang w:val="en-GB"/>
              </w:rPr>
              <w:t xml:space="preserve">: </w:t>
            </w:r>
            <w:r w:rsidRPr="0BC45666" w:rsidR="31569F51">
              <w:rPr>
                <w:rFonts w:cs="Calibri" w:cstheme="minorAscii"/>
                <w:sz w:val="20"/>
                <w:szCs w:val="20"/>
                <w:lang w:val="en-GB"/>
              </w:rPr>
              <w:t xml:space="preserve">National Webinar Slide pack. A recording of the national </w:t>
            </w:r>
            <w:r w:rsidRPr="0BC45666" w:rsidR="31569F51">
              <w:rPr>
                <w:rFonts w:cs="Calibri" w:cstheme="minorAscii"/>
                <w:sz w:val="20"/>
                <w:szCs w:val="20"/>
                <w:lang w:val="en-GB"/>
              </w:rPr>
              <w:t>webinar</w:t>
            </w:r>
            <w:r w:rsidRPr="0BC45666" w:rsidR="31569F51">
              <w:rPr>
                <w:rFonts w:cs="Calibri" w:cstheme="minorAscii"/>
                <w:sz w:val="20"/>
                <w:szCs w:val="20"/>
                <w:lang w:val="en-GB"/>
              </w:rPr>
              <w:t xml:space="preserve"> is also available at EOT2D Webinar </w:t>
            </w:r>
          </w:p>
          <w:p w:rsidRPr="00EA2F7B" w:rsidR="002311BF" w:rsidP="002311BF" w:rsidRDefault="002311BF" w14:paraId="67CD47A5" w14:textId="77777777">
            <w:pPr>
              <w:widowControl/>
              <w:jc w:val="both"/>
              <w:rPr>
                <w:rFonts w:cstheme="minorHAnsi"/>
                <w:sz w:val="20"/>
                <w:szCs w:val="20"/>
                <w:lang w:val="en-GB"/>
              </w:rPr>
            </w:pPr>
          </w:p>
          <w:p w:rsidRPr="00EA2F7B" w:rsidR="002311BF" w:rsidP="0BC45666" w:rsidRDefault="002311BF" w14:paraId="494284EB" w14:textId="1836594B">
            <w:pPr>
              <w:widowControl w:val="1"/>
              <w:jc w:val="both"/>
              <w:rPr>
                <w:rFonts w:cs="Calibri" w:cstheme="minorAscii"/>
                <w:sz w:val="20"/>
                <w:szCs w:val="20"/>
                <w:lang w:val="en-GB"/>
              </w:rPr>
            </w:pPr>
            <w:r w:rsidRPr="0BC45666" w:rsidR="31569F51">
              <w:rPr>
                <w:rFonts w:cs="Calibri" w:cstheme="minorAscii"/>
                <w:sz w:val="20"/>
                <w:szCs w:val="20"/>
                <w:lang w:val="en-GB"/>
              </w:rPr>
              <w:t>A</w:t>
            </w:r>
            <w:r w:rsidRPr="0BC45666" w:rsidR="5257CE38">
              <w:rPr>
                <w:rFonts w:cs="Calibri" w:cstheme="minorAscii"/>
                <w:sz w:val="20"/>
                <w:szCs w:val="20"/>
                <w:lang w:val="en-GB"/>
              </w:rPr>
              <w:t>ppendix</w:t>
            </w:r>
            <w:r w:rsidRPr="0BC45666" w:rsidR="31569F51">
              <w:rPr>
                <w:rFonts w:cs="Calibri" w:cstheme="minorAscii"/>
                <w:sz w:val="20"/>
                <w:szCs w:val="20"/>
                <w:lang w:val="en-GB"/>
              </w:rPr>
              <w:t xml:space="preserve"> </w:t>
            </w:r>
            <w:r w:rsidRPr="0BC45666" w:rsidR="549E44E8">
              <w:rPr>
                <w:rFonts w:cs="Calibri" w:cstheme="minorAscii"/>
                <w:sz w:val="20"/>
                <w:szCs w:val="20"/>
                <w:lang w:val="en-GB"/>
              </w:rPr>
              <w:t>IV</w:t>
            </w:r>
            <w:r w:rsidRPr="0BC45666" w:rsidR="31569F51">
              <w:rPr>
                <w:rFonts w:cs="Calibri" w:cstheme="minorAscii"/>
                <w:sz w:val="20"/>
                <w:szCs w:val="20"/>
                <w:lang w:val="en-GB"/>
              </w:rPr>
              <w:t>: Example of Supporting Information for Clinical Reviews is a resource to support clinicians carrying out reviews of people with EOT2D. It should be adapted by systems according to local needs, pathways, processes, services, formulary etc., signed off by local clinical leads and ‘owned’ by the ICB. Systems are therefore encoura</w:t>
            </w:r>
            <w:r w:rsidRPr="0BC45666" w:rsidR="31569F51">
              <w:rPr>
                <w:rFonts w:cs="Calibri" w:cstheme="minorAscii"/>
                <w:sz w:val="20"/>
                <w:szCs w:val="20"/>
                <w:lang w:val="en-GB"/>
              </w:rPr>
              <w:t xml:space="preserve">ged to </w:t>
            </w:r>
            <w:r w:rsidRPr="0BC45666" w:rsidR="31569F51">
              <w:rPr>
                <w:rFonts w:cs="Calibri" w:cstheme="minorAscii"/>
                <w:sz w:val="20"/>
                <w:szCs w:val="20"/>
                <w:lang w:val="en-GB"/>
              </w:rPr>
              <w:t>modify</w:t>
            </w:r>
            <w:r w:rsidRPr="0BC45666" w:rsidR="31569F51">
              <w:rPr>
                <w:rFonts w:cs="Calibri" w:cstheme="minorAscii"/>
                <w:sz w:val="20"/>
                <w:szCs w:val="20"/>
                <w:lang w:val="en-GB"/>
              </w:rPr>
              <w:t xml:space="preserve"> sections, add elements to suit local need and change </w:t>
            </w:r>
          </w:p>
          <w:p w:rsidR="002311BF" w:rsidP="002311BF" w:rsidRDefault="002311BF" w14:paraId="17F20E81" w14:textId="77777777">
            <w:pPr>
              <w:widowControl/>
              <w:jc w:val="both"/>
              <w:rPr>
                <w:rFonts w:cstheme="minorHAnsi"/>
                <w:sz w:val="20"/>
                <w:szCs w:val="20"/>
                <w:lang w:val="en-GB"/>
              </w:rPr>
            </w:pPr>
            <w:r w:rsidRPr="00EA2F7B">
              <w:rPr>
                <w:rFonts w:cstheme="minorHAnsi"/>
                <w:sz w:val="20"/>
                <w:szCs w:val="20"/>
                <w:lang w:val="en-GB"/>
              </w:rPr>
              <w:t>presentation / formatting, providing the key elements of the service remain.</w:t>
            </w:r>
          </w:p>
          <w:p w:rsidR="00BD741A" w:rsidP="002E11CA" w:rsidRDefault="00BD741A" w14:paraId="50AB6754" w14:textId="77777777">
            <w:pPr>
              <w:jc w:val="both"/>
              <w:rPr>
                <w:rFonts w:cstheme="minorHAnsi"/>
                <w:sz w:val="20"/>
                <w:szCs w:val="20"/>
                <w:lang w:val="en-GB" w:eastAsia="en-GB"/>
              </w:rPr>
            </w:pPr>
          </w:p>
          <w:p w:rsidRPr="0027657E" w:rsidR="00BD741A" w:rsidP="002E11CA" w:rsidRDefault="00BD741A" w14:paraId="77F5199F" w14:textId="77777777">
            <w:pPr>
              <w:jc w:val="both"/>
              <w:rPr>
                <w:rFonts w:cstheme="minorHAnsi"/>
                <w:sz w:val="12"/>
                <w:szCs w:val="12"/>
                <w:lang w:val="en-GB" w:eastAsia="en-GB"/>
              </w:rPr>
            </w:pPr>
          </w:p>
          <w:p w:rsidRPr="002C78F5" w:rsidR="00BD741A" w:rsidP="002E11CA" w:rsidRDefault="00BD741A" w14:paraId="10E4CF57" w14:textId="77777777">
            <w:pPr>
              <w:jc w:val="both"/>
              <w:rPr>
                <w:rFonts w:cstheme="minorHAnsi"/>
                <w:b/>
                <w:sz w:val="20"/>
                <w:szCs w:val="20"/>
                <w:u w:val="single"/>
                <w:lang w:val="en-GB" w:eastAsia="en-GB"/>
              </w:rPr>
            </w:pPr>
            <w:r w:rsidRPr="002C78F5">
              <w:rPr>
                <w:rFonts w:cstheme="minorHAnsi"/>
                <w:b/>
                <w:sz w:val="20"/>
                <w:szCs w:val="20"/>
                <w:u w:val="single"/>
                <w:lang w:val="en-GB" w:eastAsia="en-GB"/>
              </w:rPr>
              <w:t>Outcomes</w:t>
            </w:r>
          </w:p>
          <w:p w:rsidRPr="002C78F5" w:rsidR="00BD741A" w:rsidP="002E11CA" w:rsidRDefault="00BD741A" w14:paraId="34F309B5" w14:textId="77777777">
            <w:pPr>
              <w:jc w:val="both"/>
              <w:rPr>
                <w:rFonts w:cstheme="minorHAnsi"/>
                <w:sz w:val="12"/>
                <w:szCs w:val="12"/>
                <w:lang w:val="en-GB" w:eastAsia="en-GB"/>
              </w:rPr>
            </w:pPr>
          </w:p>
          <w:p w:rsidRPr="00EA2F7B" w:rsidR="00B0214E" w:rsidP="00B0214E" w:rsidRDefault="00B0214E" w14:paraId="2C7B644A" w14:textId="77777777">
            <w:pPr>
              <w:widowControl/>
              <w:jc w:val="both"/>
              <w:rPr>
                <w:rFonts w:cstheme="minorHAnsi"/>
                <w:sz w:val="20"/>
                <w:szCs w:val="20"/>
                <w:lang w:val="en-GB"/>
              </w:rPr>
            </w:pPr>
          </w:p>
          <w:p w:rsidRPr="00EA2F7B" w:rsidR="00B0214E" w:rsidP="00B0214E" w:rsidRDefault="00EB6635" w14:paraId="14C33A62" w14:textId="136D6987">
            <w:pPr>
              <w:widowControl/>
              <w:jc w:val="both"/>
              <w:rPr>
                <w:rFonts w:cstheme="minorHAnsi"/>
                <w:sz w:val="20"/>
                <w:szCs w:val="20"/>
                <w:lang w:val="en-GB"/>
              </w:rPr>
            </w:pPr>
            <w:r>
              <w:rPr>
                <w:rFonts w:cstheme="minorHAnsi"/>
                <w:b/>
                <w:bCs/>
                <w:sz w:val="20"/>
                <w:szCs w:val="20"/>
                <w:lang w:val="en-GB"/>
              </w:rPr>
              <w:t>Metrics used to evaluate impact</w:t>
            </w:r>
            <w:r w:rsidRPr="00EA2F7B" w:rsidR="00B0214E">
              <w:rPr>
                <w:rFonts w:cstheme="minorHAnsi"/>
                <w:b/>
                <w:bCs/>
                <w:sz w:val="20"/>
                <w:szCs w:val="20"/>
                <w:lang w:val="en-GB"/>
              </w:rPr>
              <w:t xml:space="preserve"> include: </w:t>
            </w:r>
          </w:p>
          <w:p w:rsidRPr="00EA2F7B" w:rsidR="00B0214E" w:rsidP="00B0214E" w:rsidRDefault="00B0214E" w14:paraId="20A390BA" w14:textId="77777777">
            <w:pPr>
              <w:widowControl/>
              <w:jc w:val="both"/>
              <w:rPr>
                <w:rFonts w:cstheme="minorHAnsi"/>
                <w:sz w:val="20"/>
                <w:szCs w:val="20"/>
                <w:lang w:val="en-GB"/>
              </w:rPr>
            </w:pPr>
            <w:r w:rsidRPr="00EA2F7B">
              <w:rPr>
                <w:rFonts w:cstheme="minorHAnsi"/>
                <w:sz w:val="20"/>
                <w:szCs w:val="20"/>
                <w:lang w:val="en-GB"/>
              </w:rPr>
              <w:t xml:space="preserve">- Completion of all NICE recommended care processes </w:t>
            </w:r>
          </w:p>
          <w:p w:rsidRPr="00EA2F7B" w:rsidR="00B0214E" w:rsidP="00B0214E" w:rsidRDefault="00B0214E" w14:paraId="3DF40237" w14:textId="6B7B0373">
            <w:pPr>
              <w:widowControl/>
              <w:jc w:val="both"/>
              <w:rPr>
                <w:rFonts w:cstheme="minorHAnsi"/>
                <w:sz w:val="20"/>
                <w:szCs w:val="20"/>
                <w:lang w:val="en-GB"/>
              </w:rPr>
            </w:pPr>
            <w:r w:rsidRPr="00EA2F7B">
              <w:rPr>
                <w:rFonts w:cstheme="minorHAnsi"/>
                <w:sz w:val="20"/>
                <w:szCs w:val="20"/>
                <w:lang w:val="en-GB"/>
              </w:rPr>
              <w:t xml:space="preserve">- </w:t>
            </w:r>
            <w:r w:rsidR="00DE790B">
              <w:rPr>
                <w:rFonts w:cstheme="minorHAnsi"/>
                <w:sz w:val="20"/>
                <w:szCs w:val="20"/>
                <w:lang w:val="en-GB"/>
              </w:rPr>
              <w:t>Improvements in t</w:t>
            </w:r>
            <w:r w:rsidRPr="00EA2F7B">
              <w:rPr>
                <w:rFonts w:cstheme="minorHAnsi"/>
                <w:sz w:val="20"/>
                <w:szCs w:val="20"/>
                <w:lang w:val="en-GB"/>
              </w:rPr>
              <w:t xml:space="preserve">reatment target achievement </w:t>
            </w:r>
          </w:p>
          <w:p w:rsidRPr="00EA2F7B" w:rsidR="00B0214E" w:rsidP="00B0214E" w:rsidRDefault="00B0214E" w14:paraId="5505DF3B" w14:textId="77777777">
            <w:pPr>
              <w:widowControl/>
              <w:jc w:val="both"/>
              <w:rPr>
                <w:rFonts w:cstheme="minorHAnsi"/>
                <w:sz w:val="20"/>
                <w:szCs w:val="20"/>
                <w:lang w:val="en-GB"/>
              </w:rPr>
            </w:pPr>
            <w:r w:rsidRPr="00EA2F7B">
              <w:rPr>
                <w:rFonts w:cstheme="minorHAnsi"/>
                <w:sz w:val="20"/>
                <w:szCs w:val="20"/>
                <w:lang w:val="en-GB"/>
              </w:rPr>
              <w:t xml:space="preserve">- Proportion with HbA1c ≤ 48 mmol/mol </w:t>
            </w:r>
          </w:p>
          <w:p w:rsidRPr="00EA2F7B" w:rsidR="00B0214E" w:rsidP="00B0214E" w:rsidRDefault="00B0214E" w14:paraId="5D51BFCF" w14:textId="77777777">
            <w:pPr>
              <w:widowControl/>
              <w:jc w:val="both"/>
              <w:rPr>
                <w:rFonts w:cstheme="minorHAnsi"/>
                <w:sz w:val="20"/>
                <w:szCs w:val="20"/>
                <w:lang w:val="en-GB"/>
              </w:rPr>
            </w:pPr>
            <w:r w:rsidRPr="00EA2F7B">
              <w:rPr>
                <w:rFonts w:cstheme="minorHAnsi"/>
                <w:sz w:val="20"/>
                <w:szCs w:val="20"/>
                <w:lang w:val="en-GB"/>
              </w:rPr>
              <w:t xml:space="preserve">- Proportion achieving &gt; 5% weight loss </w:t>
            </w:r>
          </w:p>
          <w:p w:rsidRPr="00EA2F7B" w:rsidR="00B0214E" w:rsidP="00B0214E" w:rsidRDefault="00B0214E" w14:paraId="24385F30" w14:textId="77777777">
            <w:pPr>
              <w:widowControl/>
              <w:jc w:val="both"/>
              <w:rPr>
                <w:rFonts w:cstheme="minorHAnsi"/>
                <w:sz w:val="20"/>
                <w:szCs w:val="20"/>
                <w:lang w:val="en-GB"/>
              </w:rPr>
            </w:pPr>
            <w:r w:rsidRPr="00EA2F7B">
              <w:rPr>
                <w:rFonts w:cstheme="minorHAnsi"/>
                <w:sz w:val="20"/>
                <w:szCs w:val="20"/>
                <w:lang w:val="en-GB"/>
              </w:rPr>
              <w:t xml:space="preserve">- Prescribing data relating to management of diabetes, weight, and cardiovascular risk </w:t>
            </w:r>
          </w:p>
          <w:p w:rsidRPr="00EA2F7B" w:rsidR="00B0214E" w:rsidP="00B0214E" w:rsidRDefault="00B0214E" w14:paraId="21A87900" w14:textId="77777777">
            <w:pPr>
              <w:widowControl/>
              <w:jc w:val="both"/>
              <w:rPr>
                <w:rFonts w:cstheme="minorHAnsi"/>
                <w:sz w:val="20"/>
                <w:szCs w:val="20"/>
                <w:lang w:val="en-GB"/>
              </w:rPr>
            </w:pPr>
            <w:r w:rsidRPr="00EA2F7B">
              <w:rPr>
                <w:rFonts w:cstheme="minorHAnsi"/>
                <w:sz w:val="20"/>
                <w:szCs w:val="20"/>
                <w:lang w:val="en-GB"/>
              </w:rPr>
              <w:t xml:space="preserve">- Referral / uptake of NHS Type 2 Diabetes Path to Remission Programme (once available) </w:t>
            </w:r>
          </w:p>
          <w:p w:rsidRPr="00EA2F7B" w:rsidR="00B0214E" w:rsidP="00B0214E" w:rsidRDefault="00B0214E" w14:paraId="5736B031" w14:textId="77777777">
            <w:pPr>
              <w:widowControl/>
              <w:jc w:val="both"/>
              <w:rPr>
                <w:rFonts w:cstheme="minorHAnsi"/>
                <w:sz w:val="20"/>
                <w:szCs w:val="20"/>
                <w:lang w:val="en-GB"/>
              </w:rPr>
            </w:pPr>
            <w:r w:rsidRPr="00EA2F7B">
              <w:rPr>
                <w:rFonts w:cstheme="minorHAnsi"/>
                <w:sz w:val="20"/>
                <w:szCs w:val="20"/>
                <w:lang w:val="en-GB"/>
              </w:rPr>
              <w:t xml:space="preserve">- Use of other services, e.g., Digital Weight Management, NHS Talking Therapies etc. </w:t>
            </w:r>
          </w:p>
          <w:p w:rsidRPr="00EA2F7B" w:rsidR="00B0214E" w:rsidP="00B0214E" w:rsidRDefault="00B0214E" w14:paraId="681234AB" w14:textId="49F0E15A">
            <w:pPr>
              <w:widowControl/>
              <w:jc w:val="both"/>
              <w:rPr>
                <w:rFonts w:cstheme="minorHAnsi"/>
                <w:sz w:val="20"/>
                <w:szCs w:val="20"/>
                <w:lang w:val="en-GB"/>
              </w:rPr>
            </w:pPr>
            <w:r w:rsidRPr="00EA2F7B">
              <w:rPr>
                <w:rFonts w:cstheme="minorHAnsi"/>
                <w:sz w:val="20"/>
                <w:szCs w:val="20"/>
                <w:lang w:val="en-GB"/>
              </w:rPr>
              <w:t xml:space="preserve">- Proportion of women with potential to become pregnant with preparation for pregnancy </w:t>
            </w:r>
            <w:r w:rsidR="00812A74">
              <w:rPr>
                <w:rFonts w:cstheme="minorHAnsi"/>
                <w:sz w:val="20"/>
                <w:szCs w:val="20"/>
                <w:lang w:val="en-GB"/>
              </w:rPr>
              <w:t>(preconception advice and folic acid)</w:t>
            </w:r>
          </w:p>
          <w:p w:rsidRPr="00EA2F7B" w:rsidR="00B0214E" w:rsidP="00B0214E" w:rsidRDefault="00B0214E" w14:paraId="1D7B8167" w14:textId="0A4BA553">
            <w:pPr>
              <w:widowControl/>
              <w:jc w:val="both"/>
              <w:rPr>
                <w:rFonts w:cstheme="minorHAnsi"/>
                <w:sz w:val="20"/>
                <w:szCs w:val="20"/>
                <w:lang w:val="en-GB"/>
              </w:rPr>
            </w:pPr>
            <w:r w:rsidRPr="00EA2F7B">
              <w:rPr>
                <w:rFonts w:cstheme="minorHAnsi"/>
                <w:sz w:val="20"/>
                <w:szCs w:val="20"/>
                <w:lang w:val="en-GB"/>
              </w:rPr>
              <w:t xml:space="preserve">- Rates of maternal and neonatal adverse outcomes </w:t>
            </w:r>
            <w:r w:rsidR="00BD3735">
              <w:rPr>
                <w:rFonts w:cstheme="minorHAnsi"/>
                <w:sz w:val="20"/>
                <w:szCs w:val="20"/>
                <w:lang w:val="en-GB"/>
              </w:rPr>
              <w:t>at NWL or national level</w:t>
            </w:r>
          </w:p>
          <w:p w:rsidRPr="00EA2F7B" w:rsidR="00B0214E" w:rsidP="00B0214E" w:rsidRDefault="00B0214E" w14:paraId="26201ADF" w14:textId="77777777">
            <w:pPr>
              <w:widowControl/>
              <w:jc w:val="both"/>
              <w:rPr>
                <w:rFonts w:cstheme="minorHAnsi"/>
                <w:sz w:val="20"/>
                <w:szCs w:val="20"/>
                <w:lang w:val="en-GB"/>
              </w:rPr>
            </w:pPr>
          </w:p>
          <w:p w:rsidRPr="00EA2F7B" w:rsidR="00B0214E" w:rsidP="00B0214E" w:rsidRDefault="00B0214E" w14:paraId="38B3974F" w14:textId="77777777">
            <w:pPr>
              <w:widowControl/>
              <w:jc w:val="both"/>
              <w:rPr>
                <w:rFonts w:cstheme="minorHAnsi"/>
                <w:sz w:val="20"/>
                <w:szCs w:val="20"/>
                <w:lang w:val="en-GB"/>
              </w:rPr>
            </w:pPr>
            <w:r w:rsidRPr="00EA2F7B">
              <w:rPr>
                <w:rFonts w:cstheme="minorHAnsi"/>
                <w:sz w:val="20"/>
                <w:szCs w:val="20"/>
                <w:lang w:val="en-GB"/>
              </w:rPr>
              <w:t xml:space="preserve">- Across relevant metrics, inequality including by ethnicity and socioeconomic deprivation </w:t>
            </w:r>
          </w:p>
          <w:p w:rsidRPr="00484890" w:rsidR="00BD741A" w:rsidP="002E11CA" w:rsidRDefault="00BD741A" w14:paraId="79455AE8" w14:textId="77777777">
            <w:pPr>
              <w:pStyle w:val="ListParagraph"/>
              <w:jc w:val="both"/>
              <w:rPr>
                <w:rFonts w:cstheme="minorHAnsi"/>
                <w:sz w:val="20"/>
                <w:szCs w:val="20"/>
                <w:lang w:eastAsia="en-GB"/>
              </w:rPr>
            </w:pPr>
          </w:p>
        </w:tc>
      </w:tr>
      <w:tr w:rsidRPr="00AE4437" w:rsidR="00BD741A" w:rsidTr="0BC45666" w14:paraId="3B95E8ED" w14:textId="77777777">
        <w:tc>
          <w:tcPr>
            <w:tcW w:w="10455" w:type="dxa"/>
            <w:shd w:val="clear" w:color="auto" w:fill="2F5496" w:themeFill="accent5" w:themeFillShade="BF"/>
            <w:tcMar/>
            <w:vAlign w:val="center"/>
          </w:tcPr>
          <w:p w:rsidRPr="00484890" w:rsidR="00BD741A" w:rsidP="00CB778D" w:rsidRDefault="00BD741A" w14:paraId="22914F24" w14:textId="77777777">
            <w:pPr>
              <w:pStyle w:val="TableParagraph"/>
              <w:numPr>
                <w:ilvl w:val="0"/>
                <w:numId w:val="12"/>
              </w:numPr>
              <w:ind w:left="316" w:hanging="316"/>
              <w:jc w:val="both"/>
              <w:rPr>
                <w:rFonts w:cstheme="minorHAnsi"/>
                <w:b/>
                <w:color w:val="FFFFFF" w:themeColor="background1"/>
                <w:spacing w:val="-1"/>
                <w:sz w:val="20"/>
                <w:szCs w:val="20"/>
              </w:rPr>
            </w:pPr>
            <w:r w:rsidRPr="00484890">
              <w:rPr>
                <w:rFonts w:cstheme="minorHAnsi"/>
                <w:b/>
                <w:color w:val="FFFFFF" w:themeColor="background1"/>
                <w:spacing w:val="-1"/>
                <w:sz w:val="20"/>
                <w:szCs w:val="20"/>
              </w:rPr>
              <w:lastRenderedPageBreak/>
              <w:t>Any Acceptance and exclusion criteria and thresholds</w:t>
            </w:r>
          </w:p>
        </w:tc>
      </w:tr>
      <w:tr w:rsidRPr="00AE4437" w:rsidR="00BD741A" w:rsidTr="0BC45666" w14:paraId="398F73BD" w14:textId="77777777">
        <w:tc>
          <w:tcPr>
            <w:tcW w:w="10455" w:type="dxa"/>
            <w:shd w:val="clear" w:color="auto" w:fill="FFFFFF" w:themeFill="background1"/>
            <w:tcMar/>
            <w:vAlign w:val="center"/>
          </w:tcPr>
          <w:p w:rsidRPr="00484890" w:rsidR="00AC60F7" w:rsidP="00AC60F7" w:rsidRDefault="00AC60F7" w14:paraId="23823739" w14:textId="58C2BCE8">
            <w:pPr>
              <w:jc w:val="both"/>
              <w:rPr>
                <w:rFonts w:cstheme="minorHAnsi"/>
                <w:spacing w:val="4"/>
                <w:sz w:val="20"/>
                <w:szCs w:val="20"/>
              </w:rPr>
            </w:pPr>
            <w:r>
              <w:rPr>
                <w:rFonts w:cstheme="minorHAnsi"/>
                <w:spacing w:val="4"/>
                <w:sz w:val="20"/>
                <w:szCs w:val="20"/>
              </w:rPr>
              <w:t>Inclusions</w:t>
            </w:r>
            <w:r w:rsidRPr="00484890">
              <w:rPr>
                <w:rFonts w:cstheme="minorHAnsi"/>
                <w:spacing w:val="4"/>
                <w:sz w:val="20"/>
                <w:szCs w:val="20"/>
              </w:rPr>
              <w:t>:</w:t>
            </w:r>
          </w:p>
          <w:p w:rsidRPr="00AC60F7" w:rsidR="00AC60F7" w:rsidP="00AC60F7" w:rsidRDefault="00AC60F7" w14:paraId="5684156A" w14:textId="5371BB5F">
            <w:pPr>
              <w:pStyle w:val="ListParagraph"/>
              <w:numPr>
                <w:ilvl w:val="0"/>
                <w:numId w:val="66"/>
              </w:numPr>
              <w:jc w:val="both"/>
              <w:rPr>
                <w:rFonts w:cstheme="minorHAnsi"/>
                <w:sz w:val="20"/>
                <w:szCs w:val="20"/>
                <w:lang w:eastAsia="en-GB"/>
              </w:rPr>
            </w:pPr>
            <w:r w:rsidRPr="00AC60F7">
              <w:rPr>
                <w:rFonts w:cstheme="minorHAnsi"/>
                <w:sz w:val="20"/>
                <w:szCs w:val="20"/>
                <w:lang w:eastAsia="en-GB"/>
              </w:rPr>
              <w:t xml:space="preserve">Patients aged </w:t>
            </w:r>
            <w:r>
              <w:rPr>
                <w:rFonts w:cstheme="minorHAnsi"/>
                <w:sz w:val="20"/>
                <w:szCs w:val="20"/>
                <w:lang w:eastAsia="en-GB"/>
              </w:rPr>
              <w:t>18-39 with assumed Type 2 Diabetes</w:t>
            </w:r>
          </w:p>
          <w:p w:rsidR="00AC60F7" w:rsidP="00AC60F7" w:rsidRDefault="00AC60F7" w14:paraId="579ECEDC" w14:textId="77777777">
            <w:pPr>
              <w:jc w:val="both"/>
              <w:rPr>
                <w:rFonts w:cstheme="minorHAnsi"/>
                <w:sz w:val="20"/>
                <w:szCs w:val="20"/>
                <w:lang w:eastAsia="en-GB"/>
              </w:rPr>
            </w:pPr>
          </w:p>
          <w:p w:rsidRPr="00484890" w:rsidR="00BD741A" w:rsidP="00AC60F7" w:rsidRDefault="00BD741A" w14:paraId="0115A591" w14:textId="24367121">
            <w:pPr>
              <w:jc w:val="both"/>
              <w:rPr>
                <w:rFonts w:cstheme="minorHAnsi"/>
                <w:spacing w:val="4"/>
                <w:sz w:val="20"/>
                <w:szCs w:val="20"/>
              </w:rPr>
            </w:pPr>
            <w:r w:rsidRPr="00484890">
              <w:rPr>
                <w:rFonts w:cstheme="minorHAnsi"/>
                <w:spacing w:val="4"/>
                <w:sz w:val="20"/>
                <w:szCs w:val="20"/>
              </w:rPr>
              <w:t>Exclusions:</w:t>
            </w:r>
          </w:p>
          <w:p w:rsidRPr="00175E0F" w:rsidR="00BD741A" w:rsidP="00CB778D" w:rsidRDefault="00AC60F7" w14:paraId="3A7D71EC" w14:textId="343F505C">
            <w:pPr>
              <w:pStyle w:val="ListParagraph"/>
              <w:numPr>
                <w:ilvl w:val="0"/>
                <w:numId w:val="16"/>
              </w:numPr>
              <w:spacing w:line="240" w:lineRule="auto"/>
              <w:contextualSpacing w:val="0"/>
              <w:jc w:val="both"/>
              <w:rPr>
                <w:rFonts w:cstheme="minorHAnsi"/>
                <w:spacing w:val="4"/>
                <w:sz w:val="20"/>
                <w:szCs w:val="20"/>
              </w:rPr>
            </w:pPr>
            <w:r>
              <w:rPr>
                <w:rFonts w:cstheme="minorHAnsi"/>
                <w:sz w:val="20"/>
                <w:szCs w:val="20"/>
                <w:lang w:eastAsia="en-GB"/>
              </w:rPr>
              <w:t xml:space="preserve">People </w:t>
            </w:r>
            <w:r w:rsidR="00175E0F">
              <w:rPr>
                <w:rFonts w:cstheme="minorHAnsi"/>
                <w:sz w:val="20"/>
                <w:szCs w:val="20"/>
                <w:lang w:eastAsia="en-GB"/>
              </w:rPr>
              <w:t xml:space="preserve">with </w:t>
            </w:r>
            <w:r w:rsidR="009978A0">
              <w:rPr>
                <w:rFonts w:cstheme="minorHAnsi"/>
                <w:sz w:val="20"/>
                <w:szCs w:val="20"/>
                <w:lang w:eastAsia="en-GB"/>
              </w:rPr>
              <w:t xml:space="preserve">known </w:t>
            </w:r>
            <w:r w:rsidR="00175E0F">
              <w:rPr>
                <w:rFonts w:cstheme="minorHAnsi"/>
                <w:sz w:val="20"/>
                <w:szCs w:val="20"/>
                <w:lang w:eastAsia="en-GB"/>
              </w:rPr>
              <w:t>Type 1 Diabetes</w:t>
            </w:r>
            <w:r w:rsidR="009978A0">
              <w:rPr>
                <w:rFonts w:cstheme="minorHAnsi"/>
                <w:sz w:val="20"/>
                <w:szCs w:val="20"/>
                <w:lang w:eastAsia="en-GB"/>
              </w:rPr>
              <w:t xml:space="preserve"> or MODY</w:t>
            </w:r>
          </w:p>
          <w:p w:rsidRPr="00175E0F" w:rsidR="00175E0F" w:rsidP="00CB778D" w:rsidRDefault="00175E0F" w14:paraId="4F83E763" w14:textId="77777777">
            <w:pPr>
              <w:pStyle w:val="ListParagraph"/>
              <w:numPr>
                <w:ilvl w:val="0"/>
                <w:numId w:val="16"/>
              </w:numPr>
              <w:spacing w:line="240" w:lineRule="auto"/>
              <w:contextualSpacing w:val="0"/>
              <w:jc w:val="both"/>
              <w:rPr>
                <w:rFonts w:cstheme="minorHAnsi"/>
                <w:spacing w:val="4"/>
                <w:sz w:val="20"/>
                <w:szCs w:val="20"/>
              </w:rPr>
            </w:pPr>
            <w:r>
              <w:rPr>
                <w:rFonts w:cstheme="minorHAnsi"/>
                <w:sz w:val="20"/>
                <w:szCs w:val="20"/>
                <w:lang w:eastAsia="en-GB"/>
              </w:rPr>
              <w:t>Patients aged under 18 or 40 or above</w:t>
            </w:r>
          </w:p>
          <w:p w:rsidRPr="00484890" w:rsidR="00175E0F" w:rsidP="00223829" w:rsidRDefault="00175E0F" w14:paraId="0205F4DD" w14:textId="5191C65C">
            <w:pPr>
              <w:pStyle w:val="ListParagraph"/>
              <w:spacing w:line="240" w:lineRule="auto"/>
              <w:contextualSpacing w:val="0"/>
              <w:jc w:val="both"/>
              <w:rPr>
                <w:rFonts w:cstheme="minorHAnsi"/>
                <w:spacing w:val="4"/>
                <w:sz w:val="20"/>
                <w:szCs w:val="20"/>
              </w:rPr>
            </w:pPr>
          </w:p>
        </w:tc>
      </w:tr>
      <w:tr w:rsidRPr="00AE4437" w:rsidR="00BD741A" w:rsidTr="0BC45666" w14:paraId="7B78E5EE" w14:textId="77777777">
        <w:tc>
          <w:tcPr>
            <w:tcW w:w="10455" w:type="dxa"/>
            <w:shd w:val="clear" w:color="auto" w:fill="2F5496" w:themeFill="accent5" w:themeFillShade="BF"/>
            <w:tcMar/>
            <w:vAlign w:val="center"/>
          </w:tcPr>
          <w:p w:rsidRPr="00484890" w:rsidR="00BD741A" w:rsidP="00CB778D" w:rsidRDefault="00BD741A" w14:paraId="4F57EF01" w14:textId="77777777">
            <w:pPr>
              <w:pStyle w:val="TableParagraph"/>
              <w:numPr>
                <w:ilvl w:val="0"/>
                <w:numId w:val="12"/>
              </w:numPr>
              <w:ind w:left="316" w:hanging="316"/>
              <w:jc w:val="both"/>
              <w:rPr>
                <w:rFonts w:cstheme="minorHAnsi"/>
                <w:noProof/>
                <w:sz w:val="20"/>
                <w:szCs w:val="20"/>
                <w:lang w:eastAsia="en-GB"/>
              </w:rPr>
            </w:pPr>
            <w:r w:rsidRPr="00484890">
              <w:rPr>
                <w:rFonts w:cstheme="minorHAnsi"/>
                <w:b/>
                <w:color w:val="FFFFFF" w:themeColor="background1"/>
                <w:spacing w:val="-1"/>
                <w:sz w:val="20"/>
                <w:szCs w:val="20"/>
              </w:rPr>
              <w:t>Training, Skills and Experience</w:t>
            </w:r>
          </w:p>
        </w:tc>
      </w:tr>
      <w:tr w:rsidRPr="00AE4437" w:rsidR="00BD741A" w:rsidTr="0BC45666" w14:paraId="74A503B2" w14:textId="77777777">
        <w:tc>
          <w:tcPr>
            <w:tcW w:w="10455" w:type="dxa"/>
            <w:shd w:val="clear" w:color="auto" w:fill="FFFFFF" w:themeFill="background1"/>
            <w:tcMar/>
            <w:vAlign w:val="center"/>
          </w:tcPr>
          <w:p w:rsidR="00BD741A" w:rsidP="002E11CA" w:rsidRDefault="00BD741A" w14:paraId="6819E33B" w14:textId="77777777">
            <w:pPr>
              <w:jc w:val="both"/>
              <w:rPr>
                <w:rFonts w:cstheme="minorHAnsi"/>
                <w:sz w:val="20"/>
                <w:szCs w:val="20"/>
              </w:rPr>
            </w:pPr>
            <w:r>
              <w:rPr>
                <w:rFonts w:cstheme="minorHAnsi"/>
                <w:sz w:val="20"/>
                <w:szCs w:val="20"/>
              </w:rPr>
              <w:t>Diabetes Clinician:</w:t>
            </w:r>
          </w:p>
          <w:p w:rsidRPr="0027657E" w:rsidR="00BD741A" w:rsidP="002E11CA" w:rsidRDefault="00BD741A" w14:paraId="442F2D5E" w14:textId="77777777">
            <w:pPr>
              <w:jc w:val="both"/>
              <w:rPr>
                <w:rFonts w:cstheme="minorHAnsi"/>
                <w:sz w:val="12"/>
                <w:szCs w:val="12"/>
              </w:rPr>
            </w:pPr>
          </w:p>
          <w:p w:rsidRPr="001F0669" w:rsidR="00BD741A" w:rsidP="00CB778D" w:rsidRDefault="00BD741A" w14:paraId="60EC4E4E" w14:textId="77777777">
            <w:pPr>
              <w:pStyle w:val="ListParagraph"/>
              <w:numPr>
                <w:ilvl w:val="0"/>
                <w:numId w:val="16"/>
              </w:numPr>
              <w:spacing w:line="240" w:lineRule="auto"/>
              <w:contextualSpacing w:val="0"/>
              <w:jc w:val="both"/>
              <w:rPr>
                <w:rFonts w:cstheme="minorHAnsi"/>
                <w:sz w:val="20"/>
                <w:szCs w:val="20"/>
                <w:lang w:val="en-GB" w:eastAsia="en-GB"/>
              </w:rPr>
            </w:pPr>
            <w:r w:rsidRPr="001F0669">
              <w:rPr>
                <w:rFonts w:cstheme="minorHAnsi"/>
                <w:sz w:val="20"/>
                <w:szCs w:val="20"/>
                <w:lang w:val="en-GB" w:eastAsia="en-GB"/>
              </w:rPr>
              <w:t>Minimum Grade:</w:t>
            </w:r>
          </w:p>
          <w:p w:rsidRPr="001F0669" w:rsidR="00BD741A" w:rsidP="7B5B55FC" w:rsidRDefault="00BD741A" w14:paraId="6484FA66" w14:textId="1BC61346">
            <w:pPr>
              <w:pStyle w:val="ListParagraph"/>
              <w:numPr>
                <w:ilvl w:val="0"/>
                <w:numId w:val="16"/>
              </w:numPr>
              <w:spacing w:line="240" w:lineRule="auto"/>
              <w:jc w:val="both"/>
              <w:rPr>
                <w:sz w:val="20"/>
                <w:szCs w:val="20"/>
                <w:lang w:val="en-GB" w:eastAsia="en-GB"/>
              </w:rPr>
            </w:pPr>
            <w:r w:rsidRPr="7B5B55FC">
              <w:rPr>
                <w:sz w:val="20"/>
                <w:szCs w:val="20"/>
                <w:lang w:val="en-GB" w:eastAsia="en-GB"/>
              </w:rPr>
              <w:t xml:space="preserve">Agenda for Change Band </w:t>
            </w:r>
            <w:r w:rsidR="00153640">
              <w:rPr>
                <w:sz w:val="20"/>
                <w:szCs w:val="20"/>
                <w:lang w:val="en-GB" w:eastAsia="en-GB"/>
              </w:rPr>
              <w:t>7</w:t>
            </w:r>
            <w:r w:rsidRPr="7B5B55FC">
              <w:rPr>
                <w:sz w:val="20"/>
                <w:szCs w:val="20"/>
                <w:lang w:val="en-GB" w:eastAsia="en-GB"/>
              </w:rPr>
              <w:t xml:space="preserve"> or equivalent.</w:t>
            </w:r>
          </w:p>
          <w:p w:rsidRPr="001F0669" w:rsidR="00BD741A" w:rsidP="00CB778D" w:rsidRDefault="00BD741A" w14:paraId="5C8702C1" w14:textId="77777777">
            <w:pPr>
              <w:pStyle w:val="ListParagraph"/>
              <w:numPr>
                <w:ilvl w:val="0"/>
                <w:numId w:val="16"/>
              </w:numPr>
              <w:spacing w:line="240" w:lineRule="auto"/>
              <w:contextualSpacing w:val="0"/>
              <w:jc w:val="both"/>
              <w:rPr>
                <w:rFonts w:cstheme="minorHAnsi"/>
                <w:sz w:val="20"/>
                <w:szCs w:val="20"/>
                <w:lang w:val="en-GB" w:eastAsia="en-GB"/>
              </w:rPr>
            </w:pPr>
            <w:r w:rsidRPr="001F0669">
              <w:rPr>
                <w:rFonts w:cstheme="minorHAnsi"/>
                <w:sz w:val="20"/>
                <w:szCs w:val="20"/>
                <w:lang w:val="en-GB" w:eastAsia="en-GB"/>
              </w:rPr>
              <w:t>Education, Qualifications &amp;Training</w:t>
            </w:r>
          </w:p>
          <w:p w:rsidRPr="00594055" w:rsidR="00BD741A" w:rsidP="00CB778D" w:rsidRDefault="00BD741A" w14:paraId="42818EF0" w14:textId="77777777">
            <w:pPr>
              <w:pStyle w:val="ListParagraph"/>
              <w:numPr>
                <w:ilvl w:val="0"/>
                <w:numId w:val="16"/>
              </w:numPr>
              <w:spacing w:line="240" w:lineRule="auto"/>
              <w:contextualSpacing w:val="0"/>
              <w:jc w:val="both"/>
              <w:rPr>
                <w:rFonts w:cstheme="minorHAnsi"/>
                <w:sz w:val="20"/>
                <w:szCs w:val="20"/>
                <w:lang w:val="en-GB" w:eastAsia="en-GB"/>
              </w:rPr>
            </w:pPr>
            <w:r w:rsidRPr="00594055">
              <w:rPr>
                <w:rFonts w:cstheme="minorHAnsi"/>
                <w:sz w:val="20"/>
                <w:szCs w:val="20"/>
                <w:lang w:val="en-GB" w:eastAsia="en-GB"/>
              </w:rPr>
              <w:t xml:space="preserve">Minimum competencies in line with Training Research and Education for Nurses in Diabetes (TREND) recommendations </w:t>
            </w:r>
            <w:hyperlink w:history="1" r:id="rId11">
              <w:r w:rsidRPr="00594055">
                <w:rPr>
                  <w:rStyle w:val="Hyperlink"/>
                  <w:rFonts w:cstheme="minorHAnsi"/>
                  <w:color w:val="auto"/>
                  <w:sz w:val="20"/>
                  <w:szCs w:val="20"/>
                  <w:lang w:val="en-GB" w:eastAsia="en-GB"/>
                </w:rPr>
                <w:t>www.trend-uk.org/documents/TREND_3rd.pdf</w:t>
              </w:r>
            </w:hyperlink>
            <w:r w:rsidRPr="00594055">
              <w:rPr>
                <w:rFonts w:cstheme="minorHAnsi"/>
                <w:sz w:val="20"/>
                <w:szCs w:val="20"/>
                <w:lang w:val="en-GB" w:eastAsia="en-GB"/>
              </w:rPr>
              <w:t xml:space="preserve">  for “competent nurse” and working towards competencies for “experienced or proficient nurse”.</w:t>
            </w:r>
          </w:p>
          <w:p w:rsidRPr="00594055" w:rsidR="00BD741A" w:rsidP="00CB778D" w:rsidRDefault="00BD741A" w14:paraId="7F556B72" w14:textId="47FFDDD8">
            <w:pPr>
              <w:pStyle w:val="ListParagraph"/>
              <w:numPr>
                <w:ilvl w:val="0"/>
                <w:numId w:val="16"/>
              </w:numPr>
              <w:spacing w:line="240" w:lineRule="auto"/>
              <w:contextualSpacing w:val="0"/>
              <w:jc w:val="both"/>
              <w:rPr>
                <w:rFonts w:cstheme="minorHAnsi"/>
                <w:sz w:val="20"/>
                <w:szCs w:val="20"/>
                <w:lang w:val="en-GB" w:eastAsia="en-GB"/>
              </w:rPr>
            </w:pPr>
            <w:r w:rsidRPr="00594055">
              <w:rPr>
                <w:rFonts w:cstheme="minorHAnsi"/>
                <w:sz w:val="20"/>
                <w:szCs w:val="20"/>
                <w:lang w:val="en-GB" w:eastAsia="en-GB"/>
              </w:rPr>
              <w:t>PITSTOP</w:t>
            </w:r>
            <w:r w:rsidRPr="00594055" w:rsidR="00594055">
              <w:rPr>
                <w:rFonts w:cstheme="minorHAnsi"/>
                <w:sz w:val="20"/>
                <w:szCs w:val="20"/>
                <w:lang w:val="en-GB" w:eastAsia="en-GB"/>
              </w:rPr>
              <w:t xml:space="preserve"> or similar training for insulin and GLP-1 initiation / optimisation</w:t>
            </w:r>
          </w:p>
          <w:p w:rsidRPr="00594055" w:rsidR="00BD741A" w:rsidP="002E11CA" w:rsidRDefault="00BD741A" w14:paraId="0B07E197" w14:textId="77777777">
            <w:pPr>
              <w:jc w:val="both"/>
              <w:rPr>
                <w:rFonts w:cstheme="minorHAnsi"/>
                <w:sz w:val="20"/>
                <w:szCs w:val="20"/>
                <w:lang w:val="en-GB" w:eastAsia="en-GB"/>
              </w:rPr>
            </w:pPr>
            <w:r w:rsidRPr="00594055">
              <w:rPr>
                <w:rFonts w:cstheme="minorHAnsi"/>
                <w:sz w:val="20"/>
                <w:szCs w:val="20"/>
                <w:lang w:val="en-GB" w:eastAsia="en-GB"/>
              </w:rPr>
              <w:t xml:space="preserve">Add in other qualifiers </w:t>
            </w:r>
          </w:p>
          <w:p w:rsidR="00BD741A" w:rsidP="002E11CA" w:rsidRDefault="00BD741A" w14:paraId="486603FE" w14:textId="77777777">
            <w:pPr>
              <w:jc w:val="both"/>
              <w:rPr>
                <w:rFonts w:cstheme="minorHAnsi"/>
                <w:color w:val="FF0000"/>
                <w:sz w:val="20"/>
                <w:szCs w:val="20"/>
                <w:lang w:val="en-GB" w:eastAsia="en-GB"/>
              </w:rPr>
            </w:pPr>
          </w:p>
          <w:p w:rsidRPr="001F0669" w:rsidR="00BD741A" w:rsidP="00175E0F" w:rsidRDefault="00BD741A" w14:paraId="5524823B" w14:textId="77777777">
            <w:pPr>
              <w:jc w:val="both"/>
              <w:rPr>
                <w:rFonts w:cstheme="minorHAnsi"/>
                <w:sz w:val="20"/>
                <w:szCs w:val="20"/>
                <w:lang w:eastAsia="en-GB"/>
              </w:rPr>
            </w:pPr>
          </w:p>
        </w:tc>
      </w:tr>
      <w:tr w:rsidRPr="00AE4437" w:rsidR="00BD741A" w:rsidTr="0BC45666" w14:paraId="01E8CD32" w14:textId="77777777">
        <w:tc>
          <w:tcPr>
            <w:tcW w:w="10455" w:type="dxa"/>
            <w:shd w:val="clear" w:color="auto" w:fill="2F5496" w:themeFill="accent5" w:themeFillShade="BF"/>
            <w:tcMar/>
            <w:vAlign w:val="center"/>
          </w:tcPr>
          <w:p w:rsidRPr="00CD458E" w:rsidR="00BD741A" w:rsidP="00CB778D" w:rsidRDefault="00BD741A" w14:paraId="798BC3F0" w14:textId="77777777">
            <w:pPr>
              <w:pStyle w:val="TableParagraph"/>
              <w:numPr>
                <w:ilvl w:val="0"/>
                <w:numId w:val="12"/>
              </w:numPr>
              <w:ind w:left="316" w:hanging="316"/>
              <w:rPr>
                <w:rFonts w:cstheme="minorHAnsi"/>
                <w:b/>
                <w:color w:val="FFFFFF" w:themeColor="background1"/>
                <w:spacing w:val="-1"/>
                <w:sz w:val="20"/>
                <w:szCs w:val="20"/>
              </w:rPr>
            </w:pPr>
            <w:r>
              <w:rPr>
                <w:rFonts w:cstheme="minorHAnsi"/>
                <w:b/>
                <w:color w:val="FFFFFF" w:themeColor="background1"/>
                <w:spacing w:val="-1"/>
                <w:sz w:val="20"/>
                <w:szCs w:val="20"/>
              </w:rPr>
              <w:t>Equipment</w:t>
            </w:r>
          </w:p>
        </w:tc>
      </w:tr>
      <w:tr w:rsidRPr="00AE4437" w:rsidR="00BD741A" w:rsidTr="0BC45666" w14:paraId="4236AF03" w14:textId="77777777">
        <w:trPr>
          <w:trHeight w:val="333"/>
        </w:trPr>
        <w:tc>
          <w:tcPr>
            <w:tcW w:w="10455" w:type="dxa"/>
            <w:shd w:val="clear" w:color="auto" w:fill="FFFFFF" w:themeFill="background1"/>
            <w:tcMar/>
            <w:vAlign w:val="center"/>
          </w:tcPr>
          <w:p w:rsidRPr="00CD458E" w:rsidR="00BD741A" w:rsidP="002E11CA" w:rsidRDefault="00BD741A" w14:paraId="5B14A625" w14:textId="77777777">
            <w:pPr>
              <w:jc w:val="both"/>
              <w:rPr>
                <w:rFonts w:cstheme="minorHAnsi"/>
                <w:sz w:val="20"/>
                <w:szCs w:val="20"/>
                <w:lang w:val="en-GB"/>
              </w:rPr>
            </w:pPr>
            <w:r>
              <w:rPr>
                <w:rFonts w:cstheme="minorHAnsi"/>
                <w:sz w:val="20"/>
                <w:szCs w:val="20"/>
                <w:lang w:val="en-GB"/>
              </w:rPr>
              <w:t>There is no specialist equipment required for the delivery of this service.</w:t>
            </w:r>
          </w:p>
        </w:tc>
      </w:tr>
    </w:tbl>
    <w:p w:rsidR="00BD741A" w:rsidP="00BD741A" w:rsidRDefault="00BD741A" w14:paraId="46E4E134" w14:textId="77777777">
      <w:pPr>
        <w:widowControl/>
        <w:spacing w:after="160" w:line="259" w:lineRule="auto"/>
        <w:rPr>
          <w:rFonts w:cstheme="minorHAnsi"/>
          <w:b/>
          <w:color w:val="000000"/>
          <w:sz w:val="20"/>
          <w:szCs w:val="20"/>
          <w:u w:val="single"/>
          <w:lang w:val="en-GB"/>
        </w:rPr>
      </w:pPr>
    </w:p>
    <w:p w:rsidR="005E74B0" w:rsidP="005A3515" w:rsidRDefault="005E74B0" w14:paraId="3C604B49" w14:textId="77777777">
      <w:pPr>
        <w:widowControl/>
        <w:spacing w:after="160" w:line="259" w:lineRule="auto"/>
        <w:rPr>
          <w:rFonts w:cstheme="minorHAnsi"/>
          <w:b/>
          <w:color w:val="000000"/>
          <w:sz w:val="20"/>
          <w:szCs w:val="20"/>
          <w:u w:val="single"/>
          <w:lang w:val="en-GB"/>
        </w:rPr>
      </w:pPr>
      <w:r>
        <w:rPr>
          <w:rFonts w:cstheme="minorHAnsi"/>
          <w:b/>
          <w:color w:val="000000"/>
          <w:sz w:val="20"/>
          <w:szCs w:val="20"/>
          <w:u w:val="single"/>
          <w:lang w:val="en-GB"/>
        </w:rPr>
        <w:lastRenderedPageBreak/>
        <w:br w:type="page"/>
      </w:r>
    </w:p>
    <w:p w:rsidRPr="00810BE8" w:rsidR="00BD741A" w:rsidP="005A3515" w:rsidRDefault="00BD741A" w14:paraId="041A1CE3" w14:textId="599ECE61">
      <w:pPr>
        <w:widowControl/>
        <w:spacing w:after="160" w:line="259" w:lineRule="auto"/>
        <w:rPr>
          <w:rFonts w:cstheme="minorHAnsi"/>
          <w:b/>
          <w:color w:val="000000"/>
          <w:sz w:val="20"/>
          <w:szCs w:val="20"/>
          <w:u w:val="single"/>
          <w:lang w:val="en-GB"/>
        </w:rPr>
      </w:pPr>
      <w:r w:rsidRPr="003D5F61">
        <w:rPr>
          <w:rFonts w:cstheme="minorHAnsi"/>
          <w:b/>
          <w:color w:val="000000"/>
          <w:sz w:val="20"/>
          <w:szCs w:val="20"/>
          <w:u w:val="single"/>
          <w:lang w:val="en-GB"/>
        </w:rPr>
        <w:lastRenderedPageBreak/>
        <w:t>APPENDIX I</w:t>
      </w:r>
      <w:r>
        <w:rPr>
          <w:rFonts w:cstheme="minorHAnsi"/>
          <w:b/>
          <w:color w:val="000000"/>
          <w:sz w:val="20"/>
          <w:szCs w:val="20"/>
          <w:lang w:val="en-GB"/>
        </w:rPr>
        <w:t xml:space="preserve"> - CONTRACTUAL REQUIREMENTS</w:t>
      </w:r>
    </w:p>
    <w:tbl>
      <w:tblPr>
        <w:tblW w:w="10348" w:type="dxa"/>
        <w:tblInd w:w="-715" w:type="dxa"/>
        <w:tblLayout w:type="fixed"/>
        <w:tblCellMar>
          <w:top w:w="113" w:type="dxa"/>
          <w:left w:w="113" w:type="dxa"/>
          <w:bottom w:w="113" w:type="dxa"/>
          <w:right w:w="113" w:type="dxa"/>
        </w:tblCellMar>
        <w:tblLook w:val="01E0" w:firstRow="1" w:lastRow="1" w:firstColumn="1" w:lastColumn="1" w:noHBand="0" w:noVBand="0"/>
      </w:tblPr>
      <w:tblGrid>
        <w:gridCol w:w="1615"/>
        <w:gridCol w:w="3504"/>
        <w:gridCol w:w="5229"/>
      </w:tblGrid>
      <w:tr w:rsidRPr="003D5F61" w:rsidR="00BD741A" w:rsidTr="00657998" w14:paraId="04407DC1" w14:textId="77777777">
        <w:trPr>
          <w:trHeight w:val="239"/>
        </w:trPr>
        <w:tc>
          <w:tcPr>
            <w:tcW w:w="5119" w:type="dxa"/>
            <w:gridSpan w:val="2"/>
            <w:tcBorders>
              <w:top w:val="single" w:color="538DD3" w:sz="5" w:space="0"/>
              <w:left w:val="single" w:color="538DD3" w:sz="5" w:space="0"/>
              <w:bottom w:val="single" w:color="538DD3" w:sz="5" w:space="0"/>
              <w:right w:val="single" w:color="538DD3" w:sz="5" w:space="0"/>
            </w:tcBorders>
            <w:shd w:val="clear" w:color="auto" w:fill="538DD3"/>
            <w:vAlign w:val="center"/>
          </w:tcPr>
          <w:p w:rsidRPr="003D5F61" w:rsidR="00BD741A" w:rsidP="002E11CA" w:rsidRDefault="002A61DC" w14:paraId="78D2DEB1" w14:textId="5C96126B">
            <w:pPr>
              <w:pStyle w:val="UpdatedDate"/>
              <w:ind w:right="-637"/>
              <w:jc w:val="left"/>
              <w:rPr>
                <w:rFonts w:cstheme="minorHAnsi"/>
                <w:sz w:val="20"/>
                <w:szCs w:val="20"/>
              </w:rPr>
            </w:pPr>
            <w:r>
              <w:rPr>
                <w:rFonts w:cstheme="minorHAnsi"/>
                <w:color w:val="FFFFFF"/>
                <w:spacing w:val="-1"/>
                <w:sz w:val="20"/>
                <w:szCs w:val="20"/>
              </w:rPr>
              <w:t>EARLY ONSET TYPE 2 DIABETES</w:t>
            </w:r>
          </w:p>
        </w:tc>
        <w:tc>
          <w:tcPr>
            <w:tcW w:w="5229" w:type="dxa"/>
            <w:tcBorders>
              <w:top w:val="single" w:color="538DD3" w:sz="5" w:space="0"/>
              <w:left w:val="single" w:color="538DD3" w:sz="5" w:space="0"/>
              <w:bottom w:val="single" w:color="538DD3" w:sz="5" w:space="0"/>
              <w:right w:val="single" w:color="538DD3" w:sz="5" w:space="0"/>
            </w:tcBorders>
            <w:shd w:val="clear" w:color="auto" w:fill="538DD3"/>
            <w:vAlign w:val="center"/>
          </w:tcPr>
          <w:p w:rsidRPr="003D5F61" w:rsidR="00BD741A" w:rsidP="002E11CA" w:rsidRDefault="00BD741A" w14:paraId="4CB62F46" w14:textId="77777777">
            <w:pPr>
              <w:pStyle w:val="UpdatedDate"/>
              <w:ind w:left="-709" w:right="-637"/>
              <w:jc w:val="left"/>
              <w:rPr>
                <w:rFonts w:cstheme="minorHAnsi"/>
                <w:color w:val="FFFFFF"/>
                <w:spacing w:val="-1"/>
                <w:sz w:val="20"/>
                <w:szCs w:val="20"/>
              </w:rPr>
            </w:pPr>
          </w:p>
        </w:tc>
      </w:tr>
      <w:tr w:rsidRPr="003D5F61" w:rsidR="00BD741A" w:rsidTr="00657998" w14:paraId="51FD7764" w14:textId="77777777">
        <w:trPr>
          <w:trHeight w:val="447"/>
        </w:trPr>
        <w:tc>
          <w:tcPr>
            <w:tcW w:w="1615" w:type="dxa"/>
            <w:tcBorders>
              <w:top w:val="single" w:color="538DD3" w:sz="5" w:space="0"/>
              <w:left w:val="single" w:color="538DD3" w:sz="5" w:space="0"/>
              <w:bottom w:val="single" w:color="538DD3" w:sz="5" w:space="0"/>
              <w:right w:val="single" w:color="538DD3" w:sz="5" w:space="0"/>
            </w:tcBorders>
            <w:shd w:val="clear" w:color="auto" w:fill="F1F1F1"/>
            <w:vAlign w:val="center"/>
          </w:tcPr>
          <w:p w:rsidRPr="003D5F61" w:rsidR="00BD741A" w:rsidP="002E11CA" w:rsidRDefault="00BD741A" w14:paraId="3925091D" w14:textId="77777777">
            <w:pPr>
              <w:pStyle w:val="TableParagraph"/>
              <w:ind w:right="-637"/>
              <w:rPr>
                <w:rFonts w:eastAsia="Arial" w:cstheme="minorHAnsi"/>
                <w:sz w:val="20"/>
                <w:szCs w:val="20"/>
              </w:rPr>
            </w:pPr>
            <w:r w:rsidRPr="003D5F61">
              <w:rPr>
                <w:rFonts w:cstheme="minorHAnsi"/>
                <w:b/>
                <w:sz w:val="20"/>
                <w:szCs w:val="20"/>
              </w:rPr>
              <w:t>Unit Price</w:t>
            </w:r>
          </w:p>
        </w:tc>
        <w:tc>
          <w:tcPr>
            <w:tcW w:w="8733" w:type="dxa"/>
            <w:gridSpan w:val="2"/>
            <w:tcBorders>
              <w:top w:val="single" w:color="538DD3" w:sz="5" w:space="0"/>
              <w:left w:val="single" w:color="538DD3" w:sz="5" w:space="0"/>
              <w:bottom w:val="single" w:color="538DD3" w:sz="5" w:space="0"/>
              <w:right w:val="single" w:color="538DD3" w:sz="5" w:space="0"/>
            </w:tcBorders>
            <w:vAlign w:val="center"/>
          </w:tcPr>
          <w:p w:rsidRPr="00A02D5C" w:rsidR="00837E7D" w:rsidP="00837E7D" w:rsidRDefault="00837E7D" w14:paraId="0036360D" w14:textId="77777777">
            <w:pPr>
              <w:tabs>
                <w:tab w:val="left" w:pos="823"/>
              </w:tabs>
              <w:ind w:right="170"/>
              <w:rPr>
                <w:rFonts w:cstheme="minorHAnsi"/>
                <w:bCs/>
                <w:sz w:val="20"/>
                <w:szCs w:val="20"/>
                <w:highlight w:val="yellow"/>
              </w:rPr>
            </w:pPr>
          </w:p>
          <w:p w:rsidRPr="00837E7D" w:rsidR="00BD741A" w:rsidP="00837E7D" w:rsidRDefault="00BD741A" w14:paraId="62CAF6A2" w14:textId="77777777">
            <w:pPr>
              <w:tabs>
                <w:tab w:val="left" w:pos="823"/>
              </w:tabs>
              <w:ind w:right="170"/>
              <w:rPr>
                <w:rFonts w:cstheme="minorHAnsi"/>
                <w:bCs/>
                <w:sz w:val="12"/>
                <w:szCs w:val="12"/>
                <w:highlight w:val="yellow"/>
              </w:rPr>
            </w:pPr>
          </w:p>
          <w:p w:rsidR="00BD741A" w:rsidP="002E11CA" w:rsidRDefault="00BD741A" w14:paraId="02DA8576" w14:textId="77777777">
            <w:pPr>
              <w:tabs>
                <w:tab w:val="left" w:pos="823"/>
              </w:tabs>
              <w:ind w:right="170"/>
              <w:rPr>
                <w:rFonts w:cstheme="minorHAnsi"/>
                <w:bCs/>
                <w:sz w:val="12"/>
                <w:szCs w:val="12"/>
              </w:rPr>
            </w:pPr>
          </w:p>
          <w:tbl>
            <w:tblPr>
              <w:tblStyle w:val="TableGrid"/>
              <w:tblW w:w="0" w:type="auto"/>
              <w:tblLayout w:type="fixed"/>
              <w:tblLook w:val="04A0" w:firstRow="1" w:lastRow="0" w:firstColumn="1" w:lastColumn="0" w:noHBand="0" w:noVBand="1"/>
            </w:tblPr>
            <w:tblGrid>
              <w:gridCol w:w="4362"/>
              <w:gridCol w:w="1559"/>
              <w:gridCol w:w="1559"/>
            </w:tblGrid>
            <w:tr w:rsidRPr="00EE0C23" w:rsidR="00BD741A" w:rsidTr="002E11CA" w14:paraId="2C7DF49E" w14:textId="77777777">
              <w:tc>
                <w:tcPr>
                  <w:tcW w:w="4362" w:type="dxa"/>
                  <w:shd w:val="clear" w:color="auto" w:fill="D9E2F3" w:themeFill="accent5" w:themeFillTint="33"/>
                  <w:vAlign w:val="center"/>
                </w:tcPr>
                <w:p w:rsidRPr="00EE0C23" w:rsidR="00BD741A" w:rsidP="002E11CA" w:rsidRDefault="00837E7D" w14:paraId="143EB359" w14:textId="44F86EC5">
                  <w:pPr>
                    <w:tabs>
                      <w:tab w:val="left" w:pos="823"/>
                    </w:tabs>
                    <w:ind w:right="170"/>
                    <w:rPr>
                      <w:rFonts w:cstheme="minorHAnsi"/>
                      <w:bCs/>
                    </w:rPr>
                  </w:pPr>
                  <w:r>
                    <w:rPr>
                      <w:rFonts w:ascii="Calibri" w:hAnsi="Calibri" w:cs="Calibri"/>
                      <w:b/>
                      <w:bCs/>
                      <w:color w:val="000000"/>
                    </w:rPr>
                    <w:t>Activity</w:t>
                  </w:r>
                </w:p>
              </w:tc>
              <w:tc>
                <w:tcPr>
                  <w:tcW w:w="1559" w:type="dxa"/>
                  <w:shd w:val="clear" w:color="auto" w:fill="D9E2F3" w:themeFill="accent5" w:themeFillTint="33"/>
                  <w:vAlign w:val="center"/>
                </w:tcPr>
                <w:p w:rsidRPr="00EE0C23" w:rsidR="00BD741A" w:rsidP="00A02D5C" w:rsidRDefault="00BD741A" w14:paraId="447308A5" w14:textId="77777777">
                  <w:pPr>
                    <w:tabs>
                      <w:tab w:val="left" w:pos="823"/>
                    </w:tabs>
                    <w:ind w:right="170"/>
                    <w:rPr>
                      <w:rFonts w:cstheme="minorHAnsi"/>
                      <w:bCs/>
                    </w:rPr>
                  </w:pPr>
                  <w:r>
                    <w:rPr>
                      <w:rFonts w:ascii="Calibri" w:hAnsi="Calibri" w:cs="Calibri"/>
                      <w:b/>
                      <w:bCs/>
                      <w:color w:val="000000"/>
                    </w:rPr>
                    <w:t>Target Thresholds</w:t>
                  </w:r>
                </w:p>
              </w:tc>
              <w:tc>
                <w:tcPr>
                  <w:tcW w:w="1559" w:type="dxa"/>
                  <w:shd w:val="clear" w:color="auto" w:fill="D9E2F3" w:themeFill="accent5" w:themeFillTint="33"/>
                  <w:vAlign w:val="center"/>
                </w:tcPr>
                <w:p w:rsidRPr="00EE0C23" w:rsidR="00BD741A" w:rsidP="00A02D5C" w:rsidRDefault="00073331" w14:paraId="0C1F6BF9" w14:textId="1A62EF7C">
                  <w:pPr>
                    <w:tabs>
                      <w:tab w:val="left" w:pos="823"/>
                    </w:tabs>
                    <w:ind w:right="170"/>
                    <w:rPr>
                      <w:rFonts w:cstheme="minorHAnsi"/>
                      <w:bCs/>
                    </w:rPr>
                  </w:pPr>
                  <w:r>
                    <w:rPr>
                      <w:rFonts w:ascii="Calibri" w:hAnsi="Calibri" w:cs="Calibri"/>
                      <w:b/>
                      <w:bCs/>
                      <w:color w:val="000000"/>
                    </w:rPr>
                    <w:t>Price per patient</w:t>
                  </w:r>
                </w:p>
              </w:tc>
            </w:tr>
            <w:tr w:rsidRPr="00EE0C23" w:rsidR="00DF28A5" w:rsidTr="002E11CA" w14:paraId="4953E904" w14:textId="77777777">
              <w:trPr>
                <w:trHeight w:val="710"/>
              </w:trPr>
              <w:tc>
                <w:tcPr>
                  <w:tcW w:w="4362" w:type="dxa"/>
                  <w:vAlign w:val="center"/>
                </w:tcPr>
                <w:p w:rsidRPr="00073331" w:rsidR="00DF28A5" w:rsidP="00DF28A5" w:rsidRDefault="00DF28A5" w14:paraId="77E767C0" w14:textId="1EEEC6C5">
                  <w:pPr>
                    <w:tabs>
                      <w:tab w:val="left" w:pos="823"/>
                    </w:tabs>
                    <w:ind w:right="170"/>
                    <w:rPr>
                      <w:rFonts w:cstheme="minorHAnsi"/>
                      <w:bCs/>
                    </w:rPr>
                  </w:pPr>
                  <w:r w:rsidRPr="00073331">
                    <w:rPr>
                      <w:rFonts w:asciiTheme="minorHAnsi" w:hAnsiTheme="minorHAnsi" w:cstheme="minorHAnsi"/>
                      <w:bCs/>
                    </w:rPr>
                    <w:t>DL20</w:t>
                  </w:r>
                  <w:r>
                    <w:rPr>
                      <w:rFonts w:asciiTheme="minorHAnsi" w:hAnsiTheme="minorHAnsi" w:cstheme="minorHAnsi"/>
                      <w:bCs/>
                    </w:rPr>
                    <w:t>2: Review of patients with EOT2D</w:t>
                  </w:r>
                </w:p>
              </w:tc>
              <w:tc>
                <w:tcPr>
                  <w:tcW w:w="1559" w:type="dxa"/>
                  <w:vAlign w:val="center"/>
                </w:tcPr>
                <w:p w:rsidRPr="00EE0C23" w:rsidR="00DF28A5" w:rsidP="00A02D5C" w:rsidRDefault="00DF28A5" w14:paraId="03843B72" w14:textId="569788FC">
                  <w:pPr>
                    <w:tabs>
                      <w:tab w:val="left" w:pos="823"/>
                    </w:tabs>
                    <w:ind w:right="170"/>
                    <w:rPr>
                      <w:rFonts w:cstheme="minorHAnsi"/>
                      <w:bCs/>
                    </w:rPr>
                  </w:pPr>
                  <w:r>
                    <w:rPr>
                      <w:rFonts w:asciiTheme="minorHAnsi" w:hAnsiTheme="minorHAnsi" w:cstheme="minorHAnsi"/>
                      <w:bCs/>
                    </w:rPr>
                    <w:t>100% of EOTD patients</w:t>
                  </w:r>
                </w:p>
              </w:tc>
              <w:tc>
                <w:tcPr>
                  <w:tcW w:w="1559" w:type="dxa"/>
                  <w:vAlign w:val="center"/>
                </w:tcPr>
                <w:p w:rsidRPr="00EE0C23" w:rsidR="00DF28A5" w:rsidP="00A02D5C" w:rsidRDefault="002A61DC" w14:paraId="02E94049" w14:textId="7052B784">
                  <w:pPr>
                    <w:tabs>
                      <w:tab w:val="left" w:pos="823"/>
                    </w:tabs>
                    <w:ind w:right="170"/>
                    <w:rPr>
                      <w:rFonts w:cstheme="minorHAnsi"/>
                      <w:bCs/>
                    </w:rPr>
                  </w:pPr>
                  <w:r>
                    <w:rPr>
                      <w:rFonts w:asciiTheme="minorHAnsi" w:hAnsiTheme="minorHAnsi" w:cstheme="minorHAnsi"/>
                      <w:bCs/>
                    </w:rPr>
                    <w:t>£52</w:t>
                  </w:r>
                </w:p>
              </w:tc>
            </w:tr>
          </w:tbl>
          <w:p w:rsidRPr="00EE0C23" w:rsidR="00BD741A" w:rsidP="002E11CA" w:rsidRDefault="00BD741A" w14:paraId="2EBE34D4" w14:textId="77777777">
            <w:pPr>
              <w:tabs>
                <w:tab w:val="left" w:pos="823"/>
              </w:tabs>
              <w:ind w:right="170"/>
              <w:rPr>
                <w:rFonts w:cstheme="minorHAnsi"/>
                <w:bCs/>
                <w:sz w:val="20"/>
                <w:szCs w:val="20"/>
              </w:rPr>
            </w:pPr>
          </w:p>
        </w:tc>
      </w:tr>
      <w:tr w:rsidRPr="003D5F61" w:rsidR="00BD741A" w:rsidTr="00657998" w14:paraId="6AB18908" w14:textId="77777777">
        <w:trPr>
          <w:trHeight w:val="267"/>
        </w:trPr>
        <w:tc>
          <w:tcPr>
            <w:tcW w:w="1615" w:type="dxa"/>
            <w:tcBorders>
              <w:top w:val="single" w:color="538DD3" w:sz="5" w:space="0"/>
              <w:left w:val="single" w:color="538DD3" w:sz="5" w:space="0"/>
              <w:bottom w:val="single" w:color="538DD3" w:sz="5" w:space="0"/>
              <w:right w:val="single" w:color="538DD3" w:sz="5" w:space="0"/>
            </w:tcBorders>
            <w:shd w:val="clear" w:color="auto" w:fill="F1F1F1"/>
            <w:vAlign w:val="center"/>
          </w:tcPr>
          <w:p w:rsidRPr="00837E7D" w:rsidR="00BD741A" w:rsidP="002E11CA" w:rsidRDefault="00BD741A" w14:paraId="03DA1105" w14:textId="77777777">
            <w:pPr>
              <w:pStyle w:val="TableParagraph"/>
              <w:ind w:right="-637"/>
              <w:rPr>
                <w:rFonts w:eastAsia="Arial"/>
                <w:sz w:val="20"/>
                <w:szCs w:val="20"/>
              </w:rPr>
            </w:pPr>
            <w:r w:rsidRPr="060EE8B5">
              <w:rPr>
                <w:b/>
                <w:sz w:val="20"/>
                <w:szCs w:val="20"/>
              </w:rPr>
              <w:t xml:space="preserve">Service </w:t>
            </w:r>
            <w:r w:rsidRPr="060EE8B5">
              <w:rPr>
                <w:b/>
                <w:spacing w:val="-1"/>
                <w:sz w:val="20"/>
                <w:szCs w:val="20"/>
              </w:rPr>
              <w:t>Type</w:t>
            </w:r>
          </w:p>
        </w:tc>
        <w:tc>
          <w:tcPr>
            <w:tcW w:w="3504" w:type="dxa"/>
            <w:tcBorders>
              <w:top w:val="single" w:color="538DD3" w:sz="5" w:space="0"/>
              <w:left w:val="single" w:color="538DD3" w:sz="5" w:space="0"/>
              <w:bottom w:val="single" w:color="538DD3" w:sz="5" w:space="0"/>
              <w:right w:val="single" w:color="538DD3" w:sz="5" w:space="0"/>
            </w:tcBorders>
            <w:vAlign w:val="center"/>
          </w:tcPr>
          <w:p w:rsidRPr="00837E7D" w:rsidR="00BD741A" w:rsidP="002E11CA" w:rsidRDefault="00BD741A" w14:paraId="5FCBB08D" w14:textId="77777777">
            <w:pPr>
              <w:pStyle w:val="TableParagraph"/>
              <w:ind w:right="-637"/>
              <w:rPr>
                <w:rFonts w:eastAsia="Arial"/>
                <w:sz w:val="20"/>
                <w:szCs w:val="20"/>
              </w:rPr>
            </w:pPr>
            <w:r w:rsidRPr="060EE8B5">
              <w:rPr>
                <w:spacing w:val="-1"/>
                <w:sz w:val="20"/>
                <w:szCs w:val="20"/>
              </w:rPr>
              <w:t>Package</w:t>
            </w:r>
          </w:p>
        </w:tc>
        <w:tc>
          <w:tcPr>
            <w:tcW w:w="5229" w:type="dxa"/>
            <w:tcBorders>
              <w:top w:val="single" w:color="538DD3" w:sz="5" w:space="0"/>
              <w:left w:val="single" w:color="538DD3" w:sz="5" w:space="0"/>
              <w:bottom w:val="single" w:color="538DD3" w:sz="5" w:space="0"/>
              <w:right w:val="single" w:color="538DD3" w:sz="5" w:space="0"/>
            </w:tcBorders>
            <w:vAlign w:val="center"/>
          </w:tcPr>
          <w:p w:rsidRPr="00837E7D" w:rsidR="00BD741A" w:rsidP="002E11CA" w:rsidRDefault="00BD741A" w14:paraId="2440F2DB" w14:textId="77777777">
            <w:pPr>
              <w:pStyle w:val="TableParagraph"/>
              <w:rPr>
                <w:spacing w:val="-1"/>
                <w:sz w:val="20"/>
                <w:szCs w:val="20"/>
              </w:rPr>
            </w:pPr>
            <w:r w:rsidRPr="060EE8B5">
              <w:rPr>
                <w:spacing w:val="-1"/>
                <w:sz w:val="20"/>
                <w:szCs w:val="20"/>
              </w:rPr>
              <w:t>No Pop-Up</w:t>
            </w:r>
          </w:p>
        </w:tc>
      </w:tr>
      <w:tr w:rsidRPr="003D5F61" w:rsidR="00BD741A" w:rsidTr="00657998" w14:paraId="733F2522" w14:textId="77777777">
        <w:trPr>
          <w:trHeight w:val="479"/>
        </w:trPr>
        <w:tc>
          <w:tcPr>
            <w:tcW w:w="1615" w:type="dxa"/>
            <w:tcBorders>
              <w:top w:val="single" w:color="538DD3" w:sz="5" w:space="0"/>
              <w:left w:val="single" w:color="538DD3" w:sz="5" w:space="0"/>
              <w:bottom w:val="single" w:color="538DD3" w:sz="5" w:space="0"/>
              <w:right w:val="single" w:color="538DD3" w:sz="5" w:space="0"/>
            </w:tcBorders>
            <w:shd w:val="clear" w:color="auto" w:fill="F1F1F1"/>
            <w:vAlign w:val="center"/>
          </w:tcPr>
          <w:p w:rsidRPr="00837E7D" w:rsidR="00BD741A" w:rsidP="002E11CA" w:rsidRDefault="00BD741A" w14:paraId="37E2F111" w14:textId="77777777">
            <w:pPr>
              <w:pStyle w:val="TableParagraph"/>
              <w:ind w:right="-637"/>
              <w:rPr>
                <w:rFonts w:eastAsia="Arial"/>
                <w:sz w:val="20"/>
                <w:szCs w:val="20"/>
              </w:rPr>
            </w:pPr>
            <w:r w:rsidRPr="060EE8B5">
              <w:rPr>
                <w:b/>
                <w:sz w:val="20"/>
                <w:szCs w:val="20"/>
              </w:rPr>
              <w:t>Referral Criteria</w:t>
            </w:r>
          </w:p>
        </w:tc>
        <w:tc>
          <w:tcPr>
            <w:tcW w:w="8733" w:type="dxa"/>
            <w:gridSpan w:val="2"/>
            <w:tcBorders>
              <w:top w:val="single" w:color="538DD3" w:sz="5" w:space="0"/>
              <w:left w:val="single" w:color="538DD3" w:sz="5" w:space="0"/>
              <w:bottom w:val="single" w:color="538DD3" w:sz="5" w:space="0"/>
              <w:right w:val="single" w:color="538DD3" w:sz="5" w:space="0"/>
            </w:tcBorders>
            <w:vAlign w:val="center"/>
          </w:tcPr>
          <w:p w:rsidRPr="00837E7D" w:rsidR="00BD741A" w:rsidP="002E11CA" w:rsidRDefault="2456B493" w14:paraId="1846E801" w14:textId="51BE3E60">
            <w:pPr>
              <w:tabs>
                <w:tab w:val="left" w:pos="823"/>
              </w:tabs>
              <w:ind w:right="-637"/>
              <w:rPr>
                <w:sz w:val="20"/>
                <w:szCs w:val="20"/>
              </w:rPr>
            </w:pPr>
            <w:r w:rsidRPr="060EE8B5">
              <w:rPr>
                <w:sz w:val="20"/>
                <w:szCs w:val="20"/>
              </w:rPr>
              <w:t>Patients aged 18 years and above are Mandatory under this contract</w:t>
            </w:r>
          </w:p>
        </w:tc>
      </w:tr>
    </w:tbl>
    <w:p w:rsidRPr="00810BE8" w:rsidR="00BD741A" w:rsidP="00BD741A" w:rsidRDefault="00BD741A" w14:paraId="58808116" w14:textId="77777777">
      <w:pPr>
        <w:ind w:left="-709" w:right="-637"/>
        <w:rPr>
          <w:rFonts w:eastAsia="Arial" w:cstheme="minorHAnsi"/>
          <w:b/>
          <w:bCs/>
          <w:sz w:val="12"/>
          <w:szCs w:val="12"/>
        </w:rPr>
      </w:pPr>
    </w:p>
    <w:p w:rsidRPr="00810BE8" w:rsidR="00BD741A" w:rsidP="00BD741A" w:rsidRDefault="00BD741A" w14:paraId="638B9C04" w14:textId="77777777">
      <w:pPr>
        <w:ind w:left="-709" w:right="-637"/>
        <w:rPr>
          <w:rFonts w:eastAsia="Arial" w:cstheme="minorHAnsi"/>
          <w:b/>
          <w:bCs/>
          <w:sz w:val="12"/>
          <w:szCs w:val="12"/>
        </w:rPr>
      </w:pPr>
    </w:p>
    <w:p w:rsidR="004E68F2" w:rsidP="00071CDC" w:rsidRDefault="004E68F2" w14:paraId="6AFB0C20" w14:textId="77777777">
      <w:pPr>
        <w:widowControl/>
        <w:rPr>
          <w:rFonts w:cstheme="minorHAnsi"/>
          <w:b/>
          <w:color w:val="000000"/>
          <w:sz w:val="20"/>
          <w:szCs w:val="20"/>
          <w:u w:val="single"/>
          <w:lang w:val="en-GB"/>
        </w:rPr>
        <w:sectPr w:rsidR="004E68F2" w:rsidSect="00A02D5C">
          <w:footerReference w:type="default" r:id="rId12"/>
          <w:pgSz w:w="12240" w:h="15840" w:orient="portrait"/>
          <w:pgMar w:top="907" w:right="1678" w:bottom="851" w:left="1701" w:header="1021" w:footer="964" w:gutter="0"/>
          <w:cols w:space="720"/>
          <w:docGrid w:linePitch="299"/>
        </w:sectPr>
      </w:pPr>
    </w:p>
    <w:p w:rsidR="00071CDC" w:rsidP="00071CDC" w:rsidRDefault="00071CDC" w14:paraId="5D2652C3" w14:textId="2C75781B">
      <w:pPr>
        <w:widowControl/>
        <w:rPr>
          <w:rFonts w:cstheme="minorHAnsi"/>
          <w:b/>
          <w:color w:val="000000"/>
          <w:sz w:val="20"/>
          <w:szCs w:val="20"/>
          <w:lang w:val="en-GB"/>
        </w:rPr>
      </w:pPr>
      <w:r w:rsidRPr="003D5F61">
        <w:rPr>
          <w:rFonts w:cstheme="minorHAnsi"/>
          <w:b/>
          <w:color w:val="000000"/>
          <w:sz w:val="20"/>
          <w:szCs w:val="20"/>
          <w:u w:val="single"/>
          <w:lang w:val="en-GB"/>
        </w:rPr>
        <w:lastRenderedPageBreak/>
        <w:t>APPENDIX I</w:t>
      </w:r>
      <w:r>
        <w:rPr>
          <w:rFonts w:cstheme="minorHAnsi"/>
          <w:b/>
          <w:color w:val="000000"/>
          <w:sz w:val="20"/>
          <w:szCs w:val="20"/>
          <w:u w:val="single"/>
          <w:lang w:val="en-GB"/>
        </w:rPr>
        <w:t>I</w:t>
      </w:r>
      <w:r w:rsidR="00243101">
        <w:rPr>
          <w:rFonts w:cstheme="minorHAnsi"/>
          <w:b/>
          <w:color w:val="000000"/>
          <w:sz w:val="20"/>
          <w:szCs w:val="20"/>
          <w:u w:val="single"/>
          <w:lang w:val="en-GB"/>
        </w:rPr>
        <w:t xml:space="preserve"> </w:t>
      </w:r>
      <w:r>
        <w:rPr>
          <w:rFonts w:cstheme="minorHAnsi"/>
          <w:b/>
          <w:color w:val="000000"/>
          <w:sz w:val="20"/>
          <w:szCs w:val="20"/>
          <w:lang w:val="en-GB"/>
        </w:rPr>
        <w:t>– EOT2D REVIEW</w:t>
      </w:r>
    </w:p>
    <w:p w:rsidRPr="00810BE8" w:rsidR="00071CDC" w:rsidP="00071CDC" w:rsidRDefault="00071CDC" w14:paraId="2241DB2F" w14:textId="77777777">
      <w:pPr>
        <w:widowControl/>
        <w:rPr>
          <w:rFonts w:cstheme="minorHAnsi"/>
          <w:b/>
          <w:color w:val="000000"/>
          <w:sz w:val="20"/>
          <w:szCs w:val="20"/>
          <w:u w:val="single"/>
          <w:lang w:val="en-GB"/>
        </w:rPr>
      </w:pPr>
    </w:p>
    <w:p w:rsidRPr="00926E52" w:rsidR="00071CDC" w:rsidP="00071CDC" w:rsidRDefault="00071CDC" w14:paraId="53825378" w14:textId="77777777">
      <w:pPr>
        <w:rPr>
          <w:b/>
          <w:color w:val="FFFFFF"/>
          <w:spacing w:val="-1"/>
          <w:sz w:val="12"/>
          <w:szCs w:val="12"/>
        </w:rPr>
      </w:pPr>
    </w:p>
    <w:tbl>
      <w:tblPr>
        <w:tblW w:w="14036" w:type="dxa"/>
        <w:tblInd w:w="-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28" w:type="dxa"/>
          <w:left w:w="28" w:type="dxa"/>
          <w:bottom w:w="28" w:type="dxa"/>
          <w:right w:w="28" w:type="dxa"/>
        </w:tblCellMar>
        <w:tblLook w:val="01E0" w:firstRow="1" w:lastRow="1" w:firstColumn="1" w:lastColumn="1" w:noHBand="0" w:noVBand="0"/>
      </w:tblPr>
      <w:tblGrid>
        <w:gridCol w:w="780"/>
        <w:gridCol w:w="1340"/>
        <w:gridCol w:w="5105"/>
        <w:gridCol w:w="1363"/>
        <w:gridCol w:w="1330"/>
        <w:gridCol w:w="1372"/>
        <w:gridCol w:w="1373"/>
        <w:gridCol w:w="1373"/>
      </w:tblGrid>
      <w:tr w:rsidRPr="00926E52" w:rsidR="00071CDC" w:rsidTr="007D1145" w14:paraId="4AB9545C" w14:textId="77777777">
        <w:trPr>
          <w:trHeight w:val="227"/>
        </w:trPr>
        <w:tc>
          <w:tcPr>
            <w:tcW w:w="780" w:type="dxa"/>
            <w:shd w:val="clear" w:color="auto" w:fill="F2F2F2" w:themeFill="background1" w:themeFillShade="F2"/>
            <w:vAlign w:val="center"/>
          </w:tcPr>
          <w:p w:rsidRPr="00926E52" w:rsidR="00071CDC" w:rsidP="007D1145" w:rsidRDefault="00071CDC" w14:paraId="49C901AD" w14:textId="77777777">
            <w:pPr>
              <w:pStyle w:val="TableParagraph"/>
              <w:jc w:val="center"/>
              <w:rPr>
                <w:rFonts w:cs="Arial"/>
                <w:b/>
                <w:sz w:val="18"/>
                <w:szCs w:val="18"/>
              </w:rPr>
            </w:pPr>
            <w:r w:rsidRPr="00926E52">
              <w:rPr>
                <w:rFonts w:cs="Arial"/>
                <w:b/>
                <w:sz w:val="18"/>
                <w:szCs w:val="18"/>
              </w:rPr>
              <w:t>Ref.</w:t>
            </w:r>
          </w:p>
        </w:tc>
        <w:tc>
          <w:tcPr>
            <w:tcW w:w="1340" w:type="dxa"/>
            <w:shd w:val="clear" w:color="auto" w:fill="F2F2F2" w:themeFill="background1" w:themeFillShade="F2"/>
            <w:vAlign w:val="center"/>
          </w:tcPr>
          <w:p w:rsidRPr="00926E52" w:rsidR="00071CDC" w:rsidP="007D1145" w:rsidRDefault="00071CDC" w14:paraId="3F5236F2" w14:textId="77777777">
            <w:pPr>
              <w:pStyle w:val="TableParagraph"/>
              <w:jc w:val="center"/>
              <w:rPr>
                <w:rFonts w:cs="Arial"/>
                <w:b/>
                <w:sz w:val="18"/>
                <w:szCs w:val="18"/>
              </w:rPr>
            </w:pPr>
            <w:r w:rsidRPr="00926E52">
              <w:rPr>
                <w:rFonts w:cs="Arial"/>
                <w:b/>
                <w:sz w:val="18"/>
                <w:szCs w:val="18"/>
              </w:rPr>
              <w:t>Description</w:t>
            </w:r>
          </w:p>
        </w:tc>
        <w:tc>
          <w:tcPr>
            <w:tcW w:w="5105" w:type="dxa"/>
            <w:shd w:val="clear" w:color="auto" w:fill="F2F2F2" w:themeFill="background1" w:themeFillShade="F2"/>
            <w:vAlign w:val="center"/>
          </w:tcPr>
          <w:p w:rsidRPr="00926E52" w:rsidR="00071CDC" w:rsidP="007D1145" w:rsidRDefault="00071CDC" w14:paraId="5012A75F" w14:textId="77777777">
            <w:pPr>
              <w:pStyle w:val="TableParagraph"/>
              <w:jc w:val="center"/>
              <w:rPr>
                <w:rFonts w:cs="Arial"/>
                <w:b/>
                <w:sz w:val="18"/>
                <w:szCs w:val="18"/>
              </w:rPr>
            </w:pPr>
            <w:r w:rsidRPr="00926E52">
              <w:rPr>
                <w:rFonts w:cs="Arial"/>
                <w:b/>
                <w:sz w:val="18"/>
                <w:szCs w:val="18"/>
              </w:rPr>
              <w:t>SNOMED Code</w:t>
            </w:r>
          </w:p>
        </w:tc>
        <w:tc>
          <w:tcPr>
            <w:tcW w:w="2693" w:type="dxa"/>
            <w:gridSpan w:val="2"/>
            <w:shd w:val="clear" w:color="auto" w:fill="F2F2F2" w:themeFill="background1" w:themeFillShade="F2"/>
            <w:vAlign w:val="center"/>
          </w:tcPr>
          <w:p w:rsidRPr="00926E52" w:rsidR="00071CDC" w:rsidP="007D1145" w:rsidRDefault="00071CDC" w14:paraId="76ABCFF5" w14:textId="77777777">
            <w:pPr>
              <w:pStyle w:val="TableParagraph"/>
              <w:jc w:val="center"/>
              <w:rPr>
                <w:rFonts w:cs="Arial"/>
                <w:b/>
                <w:sz w:val="18"/>
                <w:szCs w:val="18"/>
              </w:rPr>
            </w:pPr>
            <w:r w:rsidRPr="00926E52">
              <w:rPr>
                <w:rFonts w:cs="Arial"/>
                <w:b/>
                <w:sz w:val="18"/>
                <w:szCs w:val="18"/>
              </w:rPr>
              <w:t>Measurement</w:t>
            </w:r>
          </w:p>
        </w:tc>
        <w:tc>
          <w:tcPr>
            <w:tcW w:w="1372" w:type="dxa"/>
            <w:shd w:val="clear" w:color="auto" w:fill="F2F2F2" w:themeFill="background1" w:themeFillShade="F2"/>
            <w:vAlign w:val="center"/>
          </w:tcPr>
          <w:p w:rsidRPr="00926E52" w:rsidR="00071CDC" w:rsidP="007D1145" w:rsidRDefault="00071CDC" w14:paraId="3855F226" w14:textId="77777777">
            <w:pPr>
              <w:pStyle w:val="TableParagraph"/>
              <w:jc w:val="center"/>
              <w:rPr>
                <w:rFonts w:cs="Arial"/>
                <w:b/>
                <w:sz w:val="18"/>
                <w:szCs w:val="18"/>
              </w:rPr>
            </w:pPr>
            <w:r w:rsidRPr="00926E52">
              <w:rPr>
                <w:rFonts w:cs="Arial"/>
                <w:b/>
                <w:sz w:val="18"/>
                <w:szCs w:val="18"/>
              </w:rPr>
              <w:t>Target</w:t>
            </w:r>
          </w:p>
          <w:p w:rsidRPr="00926E52" w:rsidR="00071CDC" w:rsidP="007D1145" w:rsidRDefault="00071CDC" w14:paraId="5437774B" w14:textId="77777777">
            <w:pPr>
              <w:pStyle w:val="TableParagraph"/>
              <w:jc w:val="center"/>
              <w:rPr>
                <w:rFonts w:cs="Arial"/>
                <w:b/>
                <w:sz w:val="18"/>
                <w:szCs w:val="18"/>
              </w:rPr>
            </w:pPr>
            <w:r w:rsidRPr="00926E52">
              <w:rPr>
                <w:rFonts w:cs="Arial"/>
                <w:b/>
                <w:sz w:val="18"/>
                <w:szCs w:val="18"/>
              </w:rPr>
              <w:t>achievement</w:t>
            </w:r>
          </w:p>
        </w:tc>
        <w:tc>
          <w:tcPr>
            <w:tcW w:w="1373" w:type="dxa"/>
            <w:shd w:val="clear" w:color="auto" w:fill="F2F2F2" w:themeFill="background1" w:themeFillShade="F2"/>
            <w:vAlign w:val="center"/>
          </w:tcPr>
          <w:p w:rsidRPr="00926E52" w:rsidR="00071CDC" w:rsidP="007D1145" w:rsidRDefault="00071CDC" w14:paraId="6EE849C4" w14:textId="77777777">
            <w:pPr>
              <w:pStyle w:val="TableParagraph"/>
              <w:jc w:val="center"/>
              <w:rPr>
                <w:rFonts w:cs="Arial"/>
                <w:b/>
                <w:sz w:val="18"/>
                <w:szCs w:val="18"/>
              </w:rPr>
            </w:pPr>
            <w:r w:rsidRPr="00926E52">
              <w:rPr>
                <w:rFonts w:cs="Arial"/>
                <w:b/>
                <w:bCs/>
                <w:sz w:val="18"/>
                <w:szCs w:val="18"/>
              </w:rPr>
              <w:t>% of total payable for achieving target</w:t>
            </w:r>
          </w:p>
        </w:tc>
        <w:tc>
          <w:tcPr>
            <w:tcW w:w="1373" w:type="dxa"/>
            <w:shd w:val="clear" w:color="auto" w:fill="F2F2F2" w:themeFill="background1" w:themeFillShade="F2"/>
            <w:vAlign w:val="center"/>
          </w:tcPr>
          <w:p w:rsidRPr="00926E52" w:rsidR="00071CDC" w:rsidP="007D1145" w:rsidRDefault="00071CDC" w14:paraId="6062D604" w14:textId="77777777">
            <w:pPr>
              <w:pStyle w:val="TableParagraph"/>
              <w:jc w:val="center"/>
              <w:rPr>
                <w:rFonts w:cs="Arial"/>
                <w:b/>
                <w:sz w:val="18"/>
                <w:szCs w:val="18"/>
              </w:rPr>
            </w:pPr>
            <w:r w:rsidRPr="00926E52">
              <w:rPr>
                <w:rFonts w:cs="Arial"/>
                <w:b/>
                <w:sz w:val="18"/>
                <w:szCs w:val="18"/>
              </w:rPr>
              <w:t>Frequency of Monitoring</w:t>
            </w:r>
          </w:p>
        </w:tc>
      </w:tr>
      <w:tr w:rsidRPr="00926E52" w:rsidR="00A21636" w:rsidTr="007D1145" w14:paraId="6F19CC56" w14:textId="77777777">
        <w:trPr>
          <w:trHeight w:val="520"/>
        </w:trPr>
        <w:tc>
          <w:tcPr>
            <w:tcW w:w="780" w:type="dxa"/>
            <w:vAlign w:val="center"/>
          </w:tcPr>
          <w:p w:rsidRPr="00926E52" w:rsidR="00A21636" w:rsidP="00A21636" w:rsidRDefault="00A21636" w14:paraId="42E61F65" w14:textId="11447438">
            <w:pPr>
              <w:pStyle w:val="TableParagraph"/>
              <w:jc w:val="center"/>
              <w:rPr>
                <w:rFonts w:eastAsia="Arial" w:cs="Arial"/>
                <w:sz w:val="18"/>
                <w:szCs w:val="18"/>
              </w:rPr>
            </w:pPr>
            <w:r>
              <w:rPr>
                <w:rFonts w:cs="Arial"/>
                <w:b/>
                <w:spacing w:val="-1"/>
                <w:sz w:val="18"/>
                <w:szCs w:val="18"/>
              </w:rPr>
              <w:t>DL202</w:t>
            </w:r>
          </w:p>
        </w:tc>
        <w:tc>
          <w:tcPr>
            <w:tcW w:w="1340" w:type="dxa"/>
            <w:vAlign w:val="center"/>
          </w:tcPr>
          <w:p w:rsidRPr="00926E52" w:rsidR="00A21636" w:rsidP="00A21636" w:rsidRDefault="00A21636" w14:paraId="114F3498" w14:textId="77777777">
            <w:pPr>
              <w:pStyle w:val="TableParagraph"/>
              <w:ind w:left="99"/>
              <w:rPr>
                <w:rFonts w:eastAsia="Arial" w:cs="Arial"/>
                <w:sz w:val="18"/>
                <w:szCs w:val="18"/>
              </w:rPr>
            </w:pPr>
            <w:r>
              <w:rPr>
                <w:rFonts w:eastAsia="Arial" w:cs="Arial"/>
                <w:sz w:val="18"/>
                <w:szCs w:val="18"/>
              </w:rPr>
              <w:t>Number of patients receiving EOT2D review</w:t>
            </w:r>
          </w:p>
        </w:tc>
        <w:tc>
          <w:tcPr>
            <w:tcW w:w="5105" w:type="dxa"/>
            <w:shd w:val="clear" w:color="auto" w:fill="DBE4F0"/>
            <w:vAlign w:val="center"/>
          </w:tcPr>
          <w:p w:rsidRPr="00441A72" w:rsidR="00A21636" w:rsidP="00A21636" w:rsidRDefault="00A21636" w14:paraId="71EDFBA6" w14:textId="70B77083">
            <w:pPr>
              <w:rPr>
                <w:rFonts w:eastAsia="Arial" w:cstheme="minorHAnsi"/>
                <w:sz w:val="18"/>
                <w:szCs w:val="18"/>
              </w:rPr>
            </w:pPr>
            <w:r w:rsidRPr="005F65D2">
              <w:rPr>
                <w:rFonts w:eastAsia="Arial" w:cstheme="minorHAnsi"/>
                <w:sz w:val="18"/>
                <w:szCs w:val="18"/>
              </w:rPr>
              <w:t>Diabetes self-management plan review (</w:t>
            </w:r>
            <w:r w:rsidRPr="005F65D2">
              <w:rPr>
                <w:rFonts w:eastAsia="Arial" w:cstheme="minorHAnsi"/>
                <w:b/>
                <w:bCs/>
                <w:sz w:val="18"/>
                <w:szCs w:val="18"/>
              </w:rPr>
              <w:t>810961000000103</w:t>
            </w:r>
            <w:r w:rsidRPr="005F65D2">
              <w:rPr>
                <w:rFonts w:eastAsia="Arial" w:cstheme="minorHAnsi"/>
                <w:sz w:val="18"/>
                <w:szCs w:val="18"/>
              </w:rPr>
              <w:t>)</w:t>
            </w:r>
          </w:p>
        </w:tc>
        <w:tc>
          <w:tcPr>
            <w:tcW w:w="1363" w:type="dxa"/>
            <w:vAlign w:val="center"/>
          </w:tcPr>
          <w:p w:rsidRPr="00593469" w:rsidR="00A21636" w:rsidP="00A21636" w:rsidRDefault="00A21636" w14:paraId="4295661C" w14:textId="77777777">
            <w:pPr>
              <w:jc w:val="center"/>
              <w:rPr>
                <w:rFonts w:eastAsia="Arial" w:cstheme="minorHAnsi"/>
                <w:sz w:val="18"/>
                <w:szCs w:val="18"/>
              </w:rPr>
            </w:pPr>
            <w:r w:rsidRPr="00593469">
              <w:rPr>
                <w:rFonts w:cstheme="minorHAnsi"/>
                <w:b/>
                <w:bCs/>
                <w:sz w:val="18"/>
                <w:szCs w:val="18"/>
              </w:rPr>
              <w:t>Numerator:</w:t>
            </w:r>
          </w:p>
          <w:p w:rsidRPr="00926E52" w:rsidR="00A21636" w:rsidP="00A21636" w:rsidRDefault="00A21636" w14:paraId="51DC10DB" w14:textId="21C8B37A">
            <w:pPr>
              <w:pStyle w:val="TableParagraph"/>
              <w:jc w:val="center"/>
              <w:rPr>
                <w:rFonts w:eastAsia="Arial" w:cs="Arial"/>
                <w:sz w:val="18"/>
                <w:szCs w:val="18"/>
              </w:rPr>
            </w:pPr>
            <w:r>
              <w:rPr>
                <w:rFonts w:cstheme="minorHAnsi"/>
                <w:sz w:val="18"/>
                <w:szCs w:val="18"/>
              </w:rPr>
              <w:t xml:space="preserve">Number of patients with EOT2D (coded as T2DM and aged 18-39) with </w:t>
            </w:r>
            <w:r w:rsidR="002227E1">
              <w:rPr>
                <w:rFonts w:cstheme="minorHAnsi"/>
                <w:sz w:val="18"/>
                <w:szCs w:val="18"/>
              </w:rPr>
              <w:t>diabetes self-management plan review</w:t>
            </w:r>
          </w:p>
        </w:tc>
        <w:tc>
          <w:tcPr>
            <w:tcW w:w="1330" w:type="dxa"/>
            <w:vAlign w:val="center"/>
          </w:tcPr>
          <w:p w:rsidRPr="00593469" w:rsidR="00A21636" w:rsidP="00A21636" w:rsidRDefault="00A21636" w14:paraId="2628D0AF" w14:textId="77777777">
            <w:pPr>
              <w:jc w:val="center"/>
              <w:rPr>
                <w:rFonts w:eastAsia="Arial" w:cstheme="minorHAnsi"/>
                <w:sz w:val="18"/>
                <w:szCs w:val="18"/>
              </w:rPr>
            </w:pPr>
            <w:r>
              <w:rPr>
                <w:rFonts w:cstheme="minorHAnsi"/>
                <w:b/>
                <w:bCs/>
                <w:sz w:val="18"/>
                <w:szCs w:val="18"/>
              </w:rPr>
              <w:t>Denominator</w:t>
            </w:r>
            <w:r w:rsidRPr="00593469">
              <w:rPr>
                <w:rFonts w:cstheme="minorHAnsi"/>
                <w:b/>
                <w:bCs/>
                <w:sz w:val="18"/>
                <w:szCs w:val="18"/>
              </w:rPr>
              <w:t>:</w:t>
            </w:r>
          </w:p>
          <w:p w:rsidRPr="00926E52" w:rsidR="00A21636" w:rsidP="00A21636" w:rsidRDefault="00A21636" w14:paraId="027F7DA6" w14:textId="06DAA12B">
            <w:pPr>
              <w:pStyle w:val="TableParagraph"/>
              <w:jc w:val="center"/>
              <w:rPr>
                <w:rFonts w:eastAsia="Calibri" w:cs="Arial"/>
                <w:spacing w:val="-1"/>
                <w:sz w:val="18"/>
                <w:szCs w:val="18"/>
              </w:rPr>
            </w:pPr>
            <w:r>
              <w:rPr>
                <w:rFonts w:cstheme="minorHAnsi"/>
                <w:sz w:val="18"/>
                <w:szCs w:val="18"/>
              </w:rPr>
              <w:t>Number of patients with EOT2D (coded as T2DM and aged 18-39)</w:t>
            </w:r>
          </w:p>
        </w:tc>
        <w:tc>
          <w:tcPr>
            <w:tcW w:w="1372" w:type="dxa"/>
            <w:vAlign w:val="center"/>
          </w:tcPr>
          <w:p w:rsidRPr="00926E52" w:rsidR="00A21636" w:rsidP="00A21636" w:rsidRDefault="00A21636" w14:paraId="700405D8" w14:textId="77777777">
            <w:pPr>
              <w:pStyle w:val="TableParagraph"/>
              <w:jc w:val="center"/>
              <w:rPr>
                <w:rFonts w:eastAsia="Arial" w:cs="Arial"/>
                <w:sz w:val="18"/>
                <w:szCs w:val="18"/>
              </w:rPr>
            </w:pPr>
          </w:p>
        </w:tc>
        <w:tc>
          <w:tcPr>
            <w:tcW w:w="1373" w:type="dxa"/>
            <w:vAlign w:val="center"/>
          </w:tcPr>
          <w:p w:rsidRPr="00926E52" w:rsidR="00A21636" w:rsidP="00A21636" w:rsidRDefault="00A21636" w14:paraId="656126AE" w14:textId="77777777">
            <w:pPr>
              <w:pStyle w:val="TableParagraph"/>
              <w:jc w:val="center"/>
              <w:rPr>
                <w:rFonts w:eastAsia="Arial" w:cs="Arial"/>
                <w:sz w:val="18"/>
                <w:szCs w:val="18"/>
              </w:rPr>
            </w:pPr>
          </w:p>
        </w:tc>
        <w:tc>
          <w:tcPr>
            <w:tcW w:w="1373" w:type="dxa"/>
            <w:vAlign w:val="center"/>
          </w:tcPr>
          <w:p w:rsidRPr="00926E52" w:rsidR="00A21636" w:rsidP="00A21636" w:rsidRDefault="00A21636" w14:paraId="5B15D1AD" w14:textId="77777777">
            <w:pPr>
              <w:pStyle w:val="TableParagraph"/>
              <w:jc w:val="center"/>
              <w:rPr>
                <w:rFonts w:eastAsia="Arial" w:cs="Arial"/>
                <w:sz w:val="18"/>
                <w:szCs w:val="18"/>
              </w:rPr>
            </w:pPr>
            <w:r>
              <w:rPr>
                <w:rFonts w:eastAsia="Arial" w:cs="Arial"/>
                <w:sz w:val="18"/>
                <w:szCs w:val="18"/>
              </w:rPr>
              <w:t>Monthly via dashboard</w:t>
            </w:r>
          </w:p>
        </w:tc>
      </w:tr>
    </w:tbl>
    <w:p w:rsidRPr="00AB1CA8" w:rsidR="00071CDC" w:rsidP="00071CDC" w:rsidRDefault="00071CDC" w14:paraId="4BC0EE10" w14:textId="77777777">
      <w:pPr>
        <w:rPr>
          <w:b/>
          <w:color w:val="FFFFFF"/>
          <w:spacing w:val="-1"/>
          <w:sz w:val="12"/>
          <w:szCs w:val="12"/>
        </w:rPr>
      </w:pPr>
    </w:p>
    <w:tbl>
      <w:tblPr>
        <w:tblW w:w="5000" w:type="pct"/>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113" w:type="dxa"/>
          <w:left w:w="57" w:type="dxa"/>
          <w:bottom w:w="113" w:type="dxa"/>
          <w:right w:w="57" w:type="dxa"/>
        </w:tblCellMar>
        <w:tblLook w:val="04A0" w:firstRow="1" w:lastRow="0" w:firstColumn="1" w:lastColumn="0" w:noHBand="0" w:noVBand="1"/>
      </w:tblPr>
      <w:tblGrid>
        <w:gridCol w:w="14072"/>
      </w:tblGrid>
      <w:tr w:rsidRPr="00926E52" w:rsidR="00071CDC" w:rsidTr="007D1145" w14:paraId="2D35309F" w14:textId="77777777">
        <w:trPr>
          <w:trHeight w:val="239"/>
        </w:trPr>
        <w:tc>
          <w:tcPr>
            <w:tcW w:w="14884" w:type="dxa"/>
            <w:tcBorders>
              <w:top w:val="single" w:color="548DD4" w:sz="4" w:space="0"/>
              <w:left w:val="single" w:color="548DD4" w:sz="4" w:space="0"/>
              <w:bottom w:val="single" w:color="548DD4" w:sz="4" w:space="0"/>
              <w:right w:val="single" w:color="548DD4" w:sz="4" w:space="0"/>
            </w:tcBorders>
            <w:shd w:val="clear" w:color="auto" w:fill="0070C0"/>
          </w:tcPr>
          <w:p w:rsidRPr="00926E52" w:rsidR="00071CDC" w:rsidP="007D1145" w:rsidRDefault="00071CDC" w14:paraId="4379A82A" w14:textId="77777777">
            <w:pPr>
              <w:widowControl/>
              <w:rPr>
                <w:rFonts w:eastAsia="Times New Roman" w:cs="Arial"/>
                <w:b/>
                <w:sz w:val="20"/>
                <w:szCs w:val="20"/>
                <w:lang w:eastAsia="ja-JP"/>
              </w:rPr>
            </w:pPr>
            <w:r w:rsidRPr="00926E52">
              <w:rPr>
                <w:rFonts w:cs="Arial"/>
                <w:b/>
                <w:color w:val="FFFFFF"/>
                <w:spacing w:val="-1"/>
                <w:sz w:val="20"/>
                <w:szCs w:val="20"/>
                <w:lang w:val="en-GB"/>
              </w:rPr>
              <w:t>PAYMENT/KPI RULES:</w:t>
            </w:r>
          </w:p>
        </w:tc>
      </w:tr>
      <w:tr w:rsidRPr="00926E52" w:rsidR="00071CDC" w:rsidTr="007D1145" w14:paraId="0F7C39A0" w14:textId="77777777">
        <w:trPr>
          <w:trHeight w:val="895"/>
        </w:trPr>
        <w:tc>
          <w:tcPr>
            <w:tcW w:w="14884" w:type="dxa"/>
            <w:tcBorders>
              <w:top w:val="single" w:color="548DD4" w:sz="4" w:space="0"/>
              <w:left w:val="single" w:color="548DD4" w:sz="4" w:space="0"/>
              <w:bottom w:val="single" w:color="548DD4" w:sz="4" w:space="0"/>
              <w:right w:val="single" w:color="548DD4" w:sz="4" w:space="0"/>
            </w:tcBorders>
            <w:shd w:val="clear" w:color="auto" w:fill="auto"/>
          </w:tcPr>
          <w:p w:rsidRPr="00926E52" w:rsidR="00071CDC" w:rsidP="007D1145" w:rsidRDefault="00071CDC" w14:paraId="6C9703AC" w14:textId="689004E6">
            <w:pPr>
              <w:rPr>
                <w:rFonts w:cs="Arial"/>
                <w:b/>
                <w:sz w:val="20"/>
                <w:szCs w:val="20"/>
              </w:rPr>
            </w:pPr>
            <w:r w:rsidRPr="00926E52">
              <w:rPr>
                <w:rFonts w:cs="Arial"/>
                <w:b/>
                <w:sz w:val="20"/>
                <w:szCs w:val="20"/>
              </w:rPr>
              <w:t xml:space="preserve">To Achieve Payment for </w:t>
            </w:r>
            <w:r w:rsidR="00D76D7B">
              <w:rPr>
                <w:rFonts w:cs="Arial"/>
                <w:b/>
                <w:sz w:val="20"/>
                <w:szCs w:val="20"/>
              </w:rPr>
              <w:t>EOT2D</w:t>
            </w:r>
            <w:r w:rsidRPr="00926E52">
              <w:rPr>
                <w:rFonts w:cs="Arial"/>
                <w:b/>
                <w:sz w:val="20"/>
                <w:szCs w:val="20"/>
              </w:rPr>
              <w:t xml:space="preserve"> DL</w:t>
            </w:r>
            <w:r>
              <w:rPr>
                <w:rFonts w:cs="Arial"/>
                <w:b/>
                <w:sz w:val="20"/>
                <w:szCs w:val="20"/>
              </w:rPr>
              <w:t>20</w:t>
            </w:r>
            <w:r w:rsidR="00D76D7B">
              <w:rPr>
                <w:rFonts w:cs="Arial"/>
                <w:b/>
                <w:sz w:val="20"/>
                <w:szCs w:val="20"/>
              </w:rPr>
              <w:t>2</w:t>
            </w:r>
          </w:p>
          <w:p w:rsidRPr="00926E52" w:rsidR="00071CDC" w:rsidP="007D1145" w:rsidRDefault="00071CDC" w14:paraId="7874DB5C" w14:textId="4A2ED540">
            <w:pPr>
              <w:numPr>
                <w:ilvl w:val="0"/>
                <w:numId w:val="20"/>
              </w:numPr>
              <w:rPr>
                <w:rFonts w:cs="Arial"/>
                <w:b/>
                <w:sz w:val="20"/>
                <w:szCs w:val="20"/>
              </w:rPr>
            </w:pPr>
            <w:r w:rsidRPr="00926E52">
              <w:rPr>
                <w:rFonts w:cs="Arial"/>
                <w:sz w:val="20"/>
                <w:szCs w:val="20"/>
              </w:rPr>
              <w:t>Patient must be Aged 1</w:t>
            </w:r>
            <w:r w:rsidR="00D76D7B">
              <w:rPr>
                <w:rFonts w:cs="Arial"/>
                <w:sz w:val="20"/>
                <w:szCs w:val="20"/>
              </w:rPr>
              <w:t>8</w:t>
            </w:r>
            <w:r w:rsidR="00E56E87">
              <w:rPr>
                <w:rFonts w:cs="Arial"/>
                <w:sz w:val="20"/>
                <w:szCs w:val="20"/>
              </w:rPr>
              <w:t>-39</w:t>
            </w:r>
            <w:r w:rsidRPr="00926E52">
              <w:rPr>
                <w:rFonts w:cs="Arial"/>
                <w:sz w:val="20"/>
                <w:szCs w:val="20"/>
              </w:rPr>
              <w:t xml:space="preserve"> </w:t>
            </w:r>
            <w:r w:rsidRPr="00926E52">
              <w:rPr>
                <w:rFonts w:cs="Arial"/>
                <w:b/>
                <w:sz w:val="20"/>
                <w:szCs w:val="20"/>
              </w:rPr>
              <w:t>AND</w:t>
            </w:r>
          </w:p>
          <w:p w:rsidRPr="00926E52" w:rsidR="00071CDC" w:rsidP="007D1145" w:rsidRDefault="00071CDC" w14:paraId="36105E9F" w14:textId="27048400">
            <w:pPr>
              <w:numPr>
                <w:ilvl w:val="0"/>
                <w:numId w:val="20"/>
              </w:numPr>
              <w:rPr>
                <w:rFonts w:cs="Arial"/>
                <w:sz w:val="20"/>
                <w:szCs w:val="20"/>
                <w:lang w:eastAsia="ja-JP"/>
              </w:rPr>
            </w:pPr>
            <w:r w:rsidRPr="00926E52">
              <w:rPr>
                <w:rFonts w:cs="Arial"/>
                <w:sz w:val="20"/>
                <w:szCs w:val="20"/>
              </w:rPr>
              <w:t xml:space="preserve">Has a SNOMED code of </w:t>
            </w:r>
            <w:r w:rsidR="00640FCA">
              <w:rPr>
                <w:rFonts w:cs="Arial"/>
                <w:sz w:val="20"/>
                <w:szCs w:val="20"/>
              </w:rPr>
              <w:t>Type 2 Diabetes</w:t>
            </w:r>
            <w:r w:rsidR="009E28B0">
              <w:rPr>
                <w:rFonts w:cs="Arial"/>
                <w:sz w:val="20"/>
                <w:szCs w:val="20"/>
              </w:rPr>
              <w:t xml:space="preserve"> Mellitus </w:t>
            </w:r>
            <w:r w:rsidRPr="00926E52">
              <w:rPr>
                <w:rFonts w:cs="Arial"/>
                <w:sz w:val="20"/>
                <w:szCs w:val="20"/>
                <w:lang w:eastAsia="ja-JP"/>
              </w:rPr>
              <w:t xml:space="preserve">without being resolved </w:t>
            </w:r>
            <w:r w:rsidRPr="00926E52">
              <w:rPr>
                <w:rFonts w:cs="Arial"/>
                <w:b/>
                <w:sz w:val="20"/>
                <w:szCs w:val="20"/>
                <w:lang w:eastAsia="ja-JP"/>
              </w:rPr>
              <w:t>AND</w:t>
            </w:r>
          </w:p>
          <w:p w:rsidRPr="00926E52" w:rsidR="00071CDC" w:rsidP="007D1145" w:rsidRDefault="00071CDC" w14:paraId="2D0AB987" w14:textId="4972A230">
            <w:pPr>
              <w:numPr>
                <w:ilvl w:val="0"/>
                <w:numId w:val="20"/>
              </w:numPr>
              <w:rPr>
                <w:rFonts w:cs="Arial"/>
                <w:sz w:val="20"/>
                <w:szCs w:val="20"/>
                <w:lang w:eastAsia="ja-JP"/>
              </w:rPr>
            </w:pPr>
            <w:r w:rsidRPr="00926E52">
              <w:rPr>
                <w:rFonts w:cs="Arial"/>
                <w:sz w:val="20"/>
                <w:szCs w:val="20"/>
              </w:rPr>
              <w:t>Has a SNOMED code of</w:t>
            </w:r>
            <w:r>
              <w:rPr>
                <w:rFonts w:cs="Arial"/>
                <w:sz w:val="20"/>
                <w:szCs w:val="20"/>
              </w:rPr>
              <w:t xml:space="preserve"> </w:t>
            </w:r>
            <w:r w:rsidRPr="00B4062C" w:rsidR="00B4062C">
              <w:rPr>
                <w:rFonts w:cs="Arial"/>
                <w:sz w:val="20"/>
                <w:szCs w:val="20"/>
              </w:rPr>
              <w:t>Diabetes self-management plan review (</w:t>
            </w:r>
            <w:r w:rsidRPr="00B4062C" w:rsidR="00B4062C">
              <w:rPr>
                <w:rFonts w:cs="Arial"/>
                <w:b/>
                <w:bCs/>
                <w:sz w:val="20"/>
                <w:szCs w:val="20"/>
              </w:rPr>
              <w:t>810961000000103</w:t>
            </w:r>
            <w:r w:rsidRPr="00B4062C" w:rsidR="00B4062C">
              <w:rPr>
                <w:rFonts w:cs="Arial"/>
                <w:sz w:val="20"/>
                <w:szCs w:val="20"/>
              </w:rPr>
              <w:t>)</w:t>
            </w:r>
          </w:p>
        </w:tc>
      </w:tr>
    </w:tbl>
    <w:p w:rsidRPr="00926E52" w:rsidR="00071CDC" w:rsidP="00071CDC" w:rsidRDefault="00071CDC" w14:paraId="2BBB70D7" w14:textId="77777777">
      <w:pPr>
        <w:rPr>
          <w:b/>
          <w:color w:val="FFFFFF"/>
          <w:spacing w:val="-1"/>
          <w:sz w:val="20"/>
          <w:szCs w:val="20"/>
        </w:rPr>
      </w:pPr>
    </w:p>
    <w:p w:rsidR="00243101" w:rsidP="00243101" w:rsidRDefault="00071CDC" w14:paraId="318D7422" w14:textId="3D6199D3">
      <w:pPr>
        <w:rPr>
          <w:rFonts w:cstheme="minorHAnsi"/>
          <w:b/>
          <w:color w:val="000000"/>
          <w:sz w:val="20"/>
          <w:szCs w:val="20"/>
          <w:lang w:val="en-GB"/>
        </w:rPr>
      </w:pPr>
      <w:r>
        <w:rPr>
          <w:b/>
          <w:color w:val="FFFFFF"/>
          <w:spacing w:val="-1"/>
        </w:rPr>
        <w:br w:type="page"/>
      </w:r>
      <w:r w:rsidR="00243101">
        <w:rPr>
          <w:rFonts w:cstheme="minorHAnsi"/>
          <w:b/>
          <w:color w:val="000000"/>
          <w:sz w:val="20"/>
          <w:szCs w:val="20"/>
          <w:u w:val="single"/>
          <w:lang w:val="en-GB"/>
        </w:rPr>
        <w:lastRenderedPageBreak/>
        <w:t>APPENDIX III</w:t>
      </w:r>
      <w:r w:rsidR="00243101">
        <w:rPr>
          <w:rFonts w:cstheme="minorHAnsi"/>
          <w:b/>
          <w:color w:val="000000"/>
          <w:sz w:val="20"/>
          <w:szCs w:val="20"/>
          <w:lang w:val="en-GB"/>
        </w:rPr>
        <w:t xml:space="preserve"> - QUALITY METRICS – EOT2D REVIEW</w:t>
      </w:r>
    </w:p>
    <w:p w:rsidRPr="00593469" w:rsidR="00243101" w:rsidP="00243101" w:rsidRDefault="00243101" w14:paraId="1AAD0B67" w14:textId="77777777">
      <w:pPr>
        <w:rPr>
          <w:rFonts w:cs="Arial"/>
          <w:b/>
          <w:bCs/>
          <w:sz w:val="12"/>
          <w:szCs w:val="12"/>
        </w:rPr>
      </w:pPr>
    </w:p>
    <w:tbl>
      <w:tblPr>
        <w:tblW w:w="5000" w:type="pct"/>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28" w:type="dxa"/>
          <w:bottom w:w="57" w:type="dxa"/>
          <w:right w:w="28" w:type="dxa"/>
        </w:tblCellMar>
        <w:tblLook w:val="01E0" w:firstRow="1" w:lastRow="1" w:firstColumn="1" w:lastColumn="1" w:noHBand="0" w:noVBand="0"/>
      </w:tblPr>
      <w:tblGrid>
        <w:gridCol w:w="945"/>
        <w:gridCol w:w="2673"/>
        <w:gridCol w:w="3909"/>
        <w:gridCol w:w="1722"/>
        <w:gridCol w:w="1485"/>
        <w:gridCol w:w="1267"/>
        <w:gridCol w:w="912"/>
        <w:gridCol w:w="1159"/>
      </w:tblGrid>
      <w:tr w:rsidRPr="00926E52" w:rsidR="00243101" w:rsidTr="007D1145" w14:paraId="0D109618" w14:textId="77777777">
        <w:trPr>
          <w:trHeight w:val="76"/>
        </w:trPr>
        <w:tc>
          <w:tcPr>
            <w:tcW w:w="14072" w:type="dxa"/>
            <w:gridSpan w:val="8"/>
            <w:shd w:val="clear" w:color="auto" w:fill="0070C0"/>
            <w:vAlign w:val="center"/>
          </w:tcPr>
          <w:p w:rsidRPr="00926E52" w:rsidR="00243101" w:rsidP="007D1145" w:rsidRDefault="00243101" w14:paraId="7B9B3A18" w14:textId="77777777">
            <w:pPr>
              <w:widowControl/>
              <w:rPr>
                <w:rFonts w:eastAsia="Arial" w:cs="Arial"/>
                <w:b/>
                <w:sz w:val="18"/>
                <w:szCs w:val="18"/>
              </w:rPr>
            </w:pPr>
            <w:r>
              <w:rPr>
                <w:rFonts w:cs="Arial"/>
                <w:b/>
                <w:color w:val="FFFFFF"/>
                <w:spacing w:val="-1"/>
                <w:sz w:val="18"/>
                <w:szCs w:val="18"/>
                <w:lang w:val="en-GB"/>
              </w:rPr>
              <w:t>QUALITY METRICS</w:t>
            </w:r>
          </w:p>
        </w:tc>
      </w:tr>
      <w:tr w:rsidRPr="00593469" w:rsidR="00243101" w:rsidTr="007D1145" w14:paraId="3191A36A" w14:textId="77777777">
        <w:trPr>
          <w:trHeight w:val="304"/>
        </w:trPr>
        <w:tc>
          <w:tcPr>
            <w:tcW w:w="945" w:type="dxa"/>
            <w:shd w:val="clear" w:color="auto" w:fill="F2F2F2" w:themeFill="background1" w:themeFillShade="F2"/>
            <w:vAlign w:val="center"/>
          </w:tcPr>
          <w:p w:rsidRPr="00593469" w:rsidR="00243101" w:rsidP="007D1145" w:rsidRDefault="00243101" w14:paraId="505AD56F" w14:textId="77777777">
            <w:pPr>
              <w:jc w:val="center"/>
              <w:rPr>
                <w:rFonts w:cstheme="minorHAnsi"/>
                <w:b/>
                <w:spacing w:val="-1"/>
                <w:sz w:val="18"/>
                <w:szCs w:val="18"/>
              </w:rPr>
            </w:pPr>
            <w:r w:rsidRPr="00593469">
              <w:rPr>
                <w:rFonts w:cstheme="minorHAnsi"/>
                <w:b/>
                <w:sz w:val="18"/>
                <w:szCs w:val="18"/>
              </w:rPr>
              <w:t>Ref.</w:t>
            </w:r>
          </w:p>
        </w:tc>
        <w:tc>
          <w:tcPr>
            <w:tcW w:w="2673" w:type="dxa"/>
            <w:shd w:val="clear" w:color="auto" w:fill="F2F2F2" w:themeFill="background1" w:themeFillShade="F2"/>
            <w:vAlign w:val="center"/>
          </w:tcPr>
          <w:p w:rsidRPr="00593469" w:rsidR="00243101" w:rsidP="007D1145" w:rsidRDefault="00243101" w14:paraId="47BADE70" w14:textId="77777777">
            <w:pPr>
              <w:jc w:val="center"/>
              <w:rPr>
                <w:rFonts w:cstheme="minorHAnsi"/>
                <w:sz w:val="18"/>
                <w:szCs w:val="18"/>
              </w:rPr>
            </w:pPr>
            <w:r w:rsidRPr="00593469">
              <w:rPr>
                <w:rFonts w:cstheme="minorHAnsi"/>
                <w:b/>
                <w:sz w:val="18"/>
                <w:szCs w:val="18"/>
              </w:rPr>
              <w:t>Description</w:t>
            </w:r>
          </w:p>
        </w:tc>
        <w:tc>
          <w:tcPr>
            <w:tcW w:w="3909" w:type="dxa"/>
            <w:shd w:val="clear" w:color="auto" w:fill="F2F2F2" w:themeFill="background1" w:themeFillShade="F2"/>
            <w:vAlign w:val="center"/>
          </w:tcPr>
          <w:p w:rsidRPr="00593469" w:rsidR="00243101" w:rsidP="007D1145" w:rsidRDefault="00243101" w14:paraId="66F443BB" w14:textId="77777777">
            <w:pPr>
              <w:jc w:val="center"/>
              <w:rPr>
                <w:rFonts w:eastAsia="Arial" w:cstheme="minorHAnsi"/>
                <w:sz w:val="18"/>
                <w:szCs w:val="18"/>
              </w:rPr>
            </w:pPr>
            <w:r w:rsidRPr="00593469">
              <w:rPr>
                <w:rFonts w:cstheme="minorHAnsi"/>
                <w:b/>
                <w:sz w:val="18"/>
                <w:szCs w:val="18"/>
              </w:rPr>
              <w:t>SNOMED Code</w:t>
            </w:r>
          </w:p>
        </w:tc>
        <w:tc>
          <w:tcPr>
            <w:tcW w:w="3207" w:type="dxa"/>
            <w:gridSpan w:val="2"/>
            <w:shd w:val="clear" w:color="auto" w:fill="F2F2F2" w:themeFill="background1" w:themeFillShade="F2"/>
            <w:vAlign w:val="center"/>
          </w:tcPr>
          <w:p w:rsidRPr="00593469" w:rsidR="00243101" w:rsidP="007D1145" w:rsidRDefault="00243101" w14:paraId="43D73CFE" w14:textId="77777777">
            <w:pPr>
              <w:jc w:val="center"/>
              <w:rPr>
                <w:rFonts w:cstheme="minorHAnsi"/>
                <w:b/>
                <w:spacing w:val="-1"/>
                <w:sz w:val="18"/>
                <w:szCs w:val="18"/>
              </w:rPr>
            </w:pPr>
            <w:r w:rsidRPr="00593469">
              <w:rPr>
                <w:rFonts w:cstheme="minorHAnsi"/>
                <w:b/>
                <w:sz w:val="18"/>
                <w:szCs w:val="18"/>
              </w:rPr>
              <w:t>Measurement</w:t>
            </w:r>
          </w:p>
        </w:tc>
        <w:tc>
          <w:tcPr>
            <w:tcW w:w="1267" w:type="dxa"/>
            <w:shd w:val="clear" w:color="auto" w:fill="F2F2F2" w:themeFill="background1" w:themeFillShade="F2"/>
            <w:vAlign w:val="center"/>
          </w:tcPr>
          <w:p w:rsidRPr="00593469" w:rsidR="00243101" w:rsidP="007D1145" w:rsidRDefault="00243101" w14:paraId="334BB0DE" w14:textId="77777777">
            <w:pPr>
              <w:pStyle w:val="TableParagraph"/>
              <w:jc w:val="center"/>
              <w:rPr>
                <w:rFonts w:cstheme="minorHAnsi"/>
                <w:b/>
                <w:sz w:val="18"/>
                <w:szCs w:val="18"/>
              </w:rPr>
            </w:pPr>
            <w:r w:rsidRPr="00593469">
              <w:rPr>
                <w:rFonts w:cstheme="minorHAnsi"/>
                <w:b/>
                <w:sz w:val="18"/>
                <w:szCs w:val="18"/>
              </w:rPr>
              <w:t>Target</w:t>
            </w:r>
          </w:p>
          <w:p w:rsidRPr="00593469" w:rsidR="00243101" w:rsidP="007D1145" w:rsidRDefault="00243101" w14:paraId="79CD1142" w14:textId="77777777">
            <w:pPr>
              <w:pStyle w:val="TableParagraph"/>
              <w:jc w:val="center"/>
              <w:rPr>
                <w:rFonts w:cstheme="minorHAnsi"/>
                <w:b/>
                <w:sz w:val="18"/>
                <w:szCs w:val="18"/>
              </w:rPr>
            </w:pPr>
            <w:r w:rsidRPr="00593469">
              <w:rPr>
                <w:rFonts w:cstheme="minorHAnsi"/>
                <w:b/>
                <w:sz w:val="18"/>
                <w:szCs w:val="18"/>
              </w:rPr>
              <w:t>achievement</w:t>
            </w:r>
          </w:p>
        </w:tc>
        <w:tc>
          <w:tcPr>
            <w:tcW w:w="912" w:type="dxa"/>
            <w:shd w:val="clear" w:color="auto" w:fill="F2F2F2" w:themeFill="background1" w:themeFillShade="F2"/>
            <w:vAlign w:val="center"/>
          </w:tcPr>
          <w:p w:rsidRPr="00593469" w:rsidR="00243101" w:rsidP="007D1145" w:rsidRDefault="00243101" w14:paraId="4B1BFE4C" w14:textId="77777777">
            <w:pPr>
              <w:pStyle w:val="TableParagraph"/>
              <w:jc w:val="center"/>
              <w:rPr>
                <w:rFonts w:cstheme="minorHAnsi"/>
                <w:b/>
                <w:sz w:val="18"/>
                <w:szCs w:val="18"/>
              </w:rPr>
            </w:pPr>
            <w:r w:rsidRPr="00593469">
              <w:rPr>
                <w:rFonts w:cstheme="minorHAnsi"/>
                <w:b/>
                <w:bCs/>
                <w:sz w:val="18"/>
                <w:szCs w:val="18"/>
              </w:rPr>
              <w:t>% of total payable for achieving target</w:t>
            </w:r>
          </w:p>
        </w:tc>
        <w:tc>
          <w:tcPr>
            <w:tcW w:w="1159" w:type="dxa"/>
            <w:shd w:val="clear" w:color="auto" w:fill="F2F2F2" w:themeFill="background1" w:themeFillShade="F2"/>
            <w:vAlign w:val="center"/>
          </w:tcPr>
          <w:p w:rsidRPr="00593469" w:rsidR="00243101" w:rsidP="007D1145" w:rsidRDefault="00243101" w14:paraId="0BF7840D" w14:textId="77777777">
            <w:pPr>
              <w:jc w:val="center"/>
              <w:rPr>
                <w:rFonts w:eastAsia="Arial" w:cstheme="minorHAnsi"/>
                <w:spacing w:val="-1"/>
                <w:sz w:val="18"/>
                <w:szCs w:val="18"/>
              </w:rPr>
            </w:pPr>
            <w:r w:rsidRPr="00593469">
              <w:rPr>
                <w:rFonts w:cstheme="minorHAnsi"/>
                <w:b/>
                <w:sz w:val="18"/>
                <w:szCs w:val="18"/>
              </w:rPr>
              <w:t>Frequency of Monitoring</w:t>
            </w:r>
          </w:p>
        </w:tc>
      </w:tr>
      <w:tr w:rsidRPr="00593469" w:rsidR="00243101" w:rsidTr="00100047" w14:paraId="2B7EEC40" w14:textId="77777777">
        <w:trPr>
          <w:trHeight w:val="189"/>
        </w:trPr>
        <w:tc>
          <w:tcPr>
            <w:tcW w:w="945" w:type="dxa"/>
            <w:vAlign w:val="center"/>
          </w:tcPr>
          <w:p w:rsidRPr="00593469" w:rsidR="00243101" w:rsidP="0035021F" w:rsidRDefault="00243101" w14:paraId="20309F8A" w14:textId="46FACF92">
            <w:pPr>
              <w:pStyle w:val="TableParagraph"/>
              <w:jc w:val="center"/>
              <w:rPr>
                <w:rFonts w:cstheme="minorHAnsi"/>
                <w:b/>
                <w:bCs/>
                <w:sz w:val="18"/>
                <w:szCs w:val="18"/>
              </w:rPr>
            </w:pPr>
            <w:r w:rsidRPr="00593469">
              <w:rPr>
                <w:rFonts w:cstheme="minorHAnsi"/>
                <w:b/>
                <w:bCs/>
                <w:sz w:val="18"/>
                <w:szCs w:val="18"/>
              </w:rPr>
              <w:t>DL</w:t>
            </w:r>
            <w:r>
              <w:rPr>
                <w:rFonts w:cstheme="minorHAnsi"/>
                <w:b/>
                <w:bCs/>
                <w:sz w:val="18"/>
                <w:szCs w:val="18"/>
              </w:rPr>
              <w:t>207a</w:t>
            </w:r>
          </w:p>
        </w:tc>
        <w:tc>
          <w:tcPr>
            <w:tcW w:w="2673" w:type="dxa"/>
            <w:vAlign w:val="center"/>
          </w:tcPr>
          <w:p w:rsidRPr="00593469" w:rsidR="00243101" w:rsidP="007D1145" w:rsidRDefault="00243101" w14:paraId="046531BA" w14:textId="77777777">
            <w:pPr>
              <w:rPr>
                <w:rFonts w:cstheme="minorHAnsi"/>
                <w:sz w:val="18"/>
                <w:szCs w:val="18"/>
                <w:lang w:val="en-GB"/>
              </w:rPr>
            </w:pPr>
            <w:r>
              <w:rPr>
                <w:rFonts w:cstheme="minorHAnsi"/>
                <w:sz w:val="18"/>
                <w:szCs w:val="18"/>
                <w:lang w:val="en-GB"/>
              </w:rPr>
              <w:t>Average change in HbA1c 3m, 6m, 12m following EOT2D review</w:t>
            </w:r>
          </w:p>
        </w:tc>
        <w:tc>
          <w:tcPr>
            <w:tcW w:w="3909" w:type="dxa"/>
            <w:shd w:val="clear" w:color="auto" w:fill="DBE4F0"/>
            <w:vAlign w:val="center"/>
          </w:tcPr>
          <w:p w:rsidRPr="00895215" w:rsidR="00243101" w:rsidP="007D1145" w:rsidRDefault="00243101" w14:paraId="39314FB6" w14:textId="77777777">
            <w:pPr>
              <w:rPr>
                <w:rFonts w:eastAsia="Calibri" w:cstheme="minorHAnsi"/>
                <w:sz w:val="18"/>
                <w:szCs w:val="18"/>
              </w:rPr>
            </w:pPr>
            <w:r w:rsidRPr="00895215">
              <w:rPr>
                <w:rFonts w:cs="Arial"/>
                <w:spacing w:val="-1"/>
                <w:sz w:val="18"/>
                <w:szCs w:val="18"/>
              </w:rPr>
              <w:t>Haemoglobin A1c level – IFCC standardized (</w:t>
            </w:r>
            <w:r w:rsidRPr="00895215">
              <w:rPr>
                <w:rFonts w:cs="Arial"/>
                <w:b/>
                <w:bCs/>
                <w:spacing w:val="-1"/>
                <w:sz w:val="18"/>
                <w:szCs w:val="18"/>
              </w:rPr>
              <w:t>999791000000106</w:t>
            </w:r>
            <w:r w:rsidRPr="00895215">
              <w:rPr>
                <w:rFonts w:cs="Arial"/>
                <w:spacing w:val="-1"/>
                <w:sz w:val="18"/>
                <w:szCs w:val="18"/>
              </w:rPr>
              <w:t>)</w:t>
            </w:r>
            <w:r w:rsidRPr="00895215">
              <w:rPr>
                <w:rFonts w:cs="Arial"/>
                <w:b/>
                <w:bCs/>
                <w:spacing w:val="-1"/>
                <w:sz w:val="18"/>
                <w:szCs w:val="18"/>
              </w:rPr>
              <w:t xml:space="preserve"> OR</w:t>
            </w:r>
            <w:r w:rsidRPr="00895215">
              <w:rPr>
                <w:rFonts w:cs="Arial"/>
                <w:spacing w:val="-1"/>
                <w:sz w:val="18"/>
                <w:szCs w:val="18"/>
              </w:rPr>
              <w:br/>
            </w:r>
            <w:r w:rsidRPr="00895215">
              <w:rPr>
                <w:rFonts w:eastAsia="Calibri" w:cstheme="minorHAnsi"/>
                <w:sz w:val="18"/>
                <w:szCs w:val="18"/>
              </w:rPr>
              <w:t>Haemoglobin A1c level (monitoring ranges) - International Federation of Clinical Chemistry and Laboratory Medicine standardised (</w:t>
            </w:r>
            <w:r w:rsidRPr="00895215">
              <w:rPr>
                <w:rFonts w:eastAsia="Calibri" w:cstheme="minorHAnsi"/>
                <w:b/>
                <w:bCs/>
                <w:sz w:val="18"/>
                <w:szCs w:val="18"/>
              </w:rPr>
              <w:t>1049321000000109</w:t>
            </w:r>
            <w:r w:rsidRPr="00895215">
              <w:rPr>
                <w:rFonts w:eastAsia="Calibri" w:cstheme="minorHAnsi"/>
                <w:sz w:val="18"/>
                <w:szCs w:val="18"/>
              </w:rPr>
              <w:t>)</w:t>
            </w:r>
          </w:p>
        </w:tc>
        <w:tc>
          <w:tcPr>
            <w:tcW w:w="1722" w:type="dxa"/>
            <w:vAlign w:val="center"/>
          </w:tcPr>
          <w:p w:rsidRPr="00593469" w:rsidR="00243101" w:rsidP="007D1145" w:rsidRDefault="00243101" w14:paraId="33CBDA3A" w14:textId="77777777">
            <w:pPr>
              <w:jc w:val="center"/>
              <w:rPr>
                <w:rFonts w:eastAsia="Arial" w:cstheme="minorHAnsi"/>
                <w:sz w:val="18"/>
                <w:szCs w:val="18"/>
              </w:rPr>
            </w:pPr>
            <w:r w:rsidRPr="00593469">
              <w:rPr>
                <w:rFonts w:cstheme="minorHAnsi"/>
                <w:b/>
                <w:bCs/>
                <w:sz w:val="18"/>
                <w:szCs w:val="18"/>
              </w:rPr>
              <w:t>Numerator:</w:t>
            </w:r>
          </w:p>
          <w:p w:rsidRPr="00593469" w:rsidR="00243101" w:rsidP="007D1145" w:rsidRDefault="00243101" w14:paraId="2E7FA622" w14:textId="77777777">
            <w:pPr>
              <w:pStyle w:val="TableParagraph"/>
              <w:jc w:val="center"/>
              <w:rPr>
                <w:rFonts w:eastAsia="Arial" w:cstheme="minorHAnsi"/>
                <w:sz w:val="18"/>
                <w:szCs w:val="18"/>
              </w:rPr>
            </w:pPr>
          </w:p>
        </w:tc>
        <w:tc>
          <w:tcPr>
            <w:tcW w:w="1485" w:type="dxa"/>
            <w:vAlign w:val="center"/>
          </w:tcPr>
          <w:p w:rsidRPr="00593469" w:rsidR="00243101" w:rsidP="007D1145" w:rsidRDefault="00243101" w14:paraId="72152FA1" w14:textId="77777777">
            <w:pPr>
              <w:jc w:val="center"/>
              <w:rPr>
                <w:rFonts w:eastAsia="Arial" w:cstheme="minorHAnsi"/>
                <w:sz w:val="18"/>
                <w:szCs w:val="18"/>
              </w:rPr>
            </w:pPr>
            <w:r w:rsidRPr="00593469">
              <w:rPr>
                <w:rFonts w:cstheme="minorHAnsi"/>
                <w:b/>
                <w:bCs/>
                <w:sz w:val="18"/>
                <w:szCs w:val="18"/>
              </w:rPr>
              <w:t>Denominator:</w:t>
            </w:r>
          </w:p>
          <w:p w:rsidRPr="00593469" w:rsidR="00243101" w:rsidP="007D1145" w:rsidRDefault="00243101" w14:paraId="31D1260E" w14:textId="77777777">
            <w:pPr>
              <w:pStyle w:val="TableParagraph"/>
              <w:jc w:val="center"/>
              <w:rPr>
                <w:rFonts w:eastAsia="Calibri" w:cstheme="minorHAnsi"/>
                <w:sz w:val="18"/>
                <w:szCs w:val="18"/>
              </w:rPr>
            </w:pPr>
          </w:p>
        </w:tc>
        <w:tc>
          <w:tcPr>
            <w:tcW w:w="1267" w:type="dxa"/>
            <w:vAlign w:val="center"/>
          </w:tcPr>
          <w:p w:rsidRPr="00593469" w:rsidR="00243101" w:rsidP="007D1145" w:rsidRDefault="00243101" w14:paraId="3FADB696" w14:textId="77777777">
            <w:pPr>
              <w:pStyle w:val="TableParagraph"/>
              <w:jc w:val="center"/>
              <w:rPr>
                <w:rFonts w:eastAsia="Arial" w:cstheme="minorHAnsi"/>
                <w:sz w:val="18"/>
                <w:szCs w:val="18"/>
              </w:rPr>
            </w:pPr>
          </w:p>
        </w:tc>
        <w:tc>
          <w:tcPr>
            <w:tcW w:w="912" w:type="dxa"/>
            <w:vAlign w:val="center"/>
          </w:tcPr>
          <w:p w:rsidRPr="00593469" w:rsidR="00243101" w:rsidP="007D1145" w:rsidRDefault="00243101" w14:paraId="0642679F" w14:textId="77777777">
            <w:pPr>
              <w:pStyle w:val="TableParagraph"/>
              <w:jc w:val="center"/>
              <w:rPr>
                <w:rFonts w:eastAsia="Arial" w:cstheme="minorHAnsi"/>
                <w:sz w:val="18"/>
                <w:szCs w:val="18"/>
              </w:rPr>
            </w:pPr>
            <w:r w:rsidRPr="00593469">
              <w:rPr>
                <w:rFonts w:eastAsia="Arial" w:cstheme="minorHAnsi"/>
                <w:sz w:val="18"/>
                <w:szCs w:val="18"/>
              </w:rPr>
              <w:t>NA</w:t>
            </w:r>
          </w:p>
        </w:tc>
        <w:tc>
          <w:tcPr>
            <w:tcW w:w="1159" w:type="dxa"/>
            <w:vAlign w:val="center"/>
          </w:tcPr>
          <w:p w:rsidRPr="00593469" w:rsidR="00243101" w:rsidP="007D1145" w:rsidRDefault="00243101" w14:paraId="3C8DEB0B" w14:textId="77777777">
            <w:pPr>
              <w:pStyle w:val="TableParagraph"/>
              <w:jc w:val="center"/>
              <w:rPr>
                <w:rFonts w:eastAsia="Arial" w:cstheme="minorHAnsi"/>
                <w:sz w:val="18"/>
                <w:szCs w:val="18"/>
              </w:rPr>
            </w:pPr>
            <w:r w:rsidRPr="0089352A">
              <w:rPr>
                <w:rFonts w:eastAsia="Arial" w:cstheme="minorHAnsi"/>
                <w:sz w:val="18"/>
                <w:szCs w:val="18"/>
              </w:rPr>
              <w:t>Monthly – via the WSIC Tier 2 Dashboard</w:t>
            </w:r>
          </w:p>
        </w:tc>
      </w:tr>
      <w:tr w:rsidRPr="00593469" w:rsidR="00243101" w:rsidTr="00100047" w14:paraId="778F6517" w14:textId="77777777">
        <w:trPr>
          <w:trHeight w:val="13"/>
        </w:trPr>
        <w:tc>
          <w:tcPr>
            <w:tcW w:w="945" w:type="dxa"/>
            <w:vAlign w:val="center"/>
          </w:tcPr>
          <w:p w:rsidRPr="00593469" w:rsidR="00243101" w:rsidP="007D1145" w:rsidRDefault="00243101" w14:paraId="3F3A1244" w14:textId="77777777">
            <w:pPr>
              <w:pStyle w:val="TableParagraph"/>
              <w:jc w:val="center"/>
              <w:rPr>
                <w:rFonts w:cstheme="minorHAnsi"/>
                <w:b/>
                <w:bCs/>
                <w:sz w:val="18"/>
                <w:szCs w:val="18"/>
              </w:rPr>
            </w:pPr>
            <w:r>
              <w:rPr>
                <w:rFonts w:cstheme="minorHAnsi"/>
                <w:b/>
                <w:bCs/>
                <w:sz w:val="18"/>
                <w:szCs w:val="18"/>
              </w:rPr>
              <w:t>DL207b</w:t>
            </w:r>
          </w:p>
        </w:tc>
        <w:tc>
          <w:tcPr>
            <w:tcW w:w="2673" w:type="dxa"/>
            <w:vAlign w:val="center"/>
          </w:tcPr>
          <w:p w:rsidRPr="00593469" w:rsidR="00243101" w:rsidP="007D1145" w:rsidRDefault="00243101" w14:paraId="31DB8B54" w14:textId="77777777">
            <w:pPr>
              <w:rPr>
                <w:rFonts w:cstheme="minorHAnsi"/>
                <w:sz w:val="18"/>
                <w:szCs w:val="18"/>
                <w:lang w:val="en-GB"/>
              </w:rPr>
            </w:pPr>
            <w:r>
              <w:rPr>
                <w:rFonts w:cstheme="minorHAnsi"/>
                <w:sz w:val="18"/>
                <w:szCs w:val="18"/>
                <w:lang w:val="en-GB"/>
              </w:rPr>
              <w:t>Average change in BP 3m, 6m, 12m following EOT2D review</w:t>
            </w:r>
          </w:p>
        </w:tc>
        <w:tc>
          <w:tcPr>
            <w:tcW w:w="3909" w:type="dxa"/>
            <w:shd w:val="clear" w:color="auto" w:fill="DBE4F0"/>
            <w:vAlign w:val="center"/>
          </w:tcPr>
          <w:p w:rsidRPr="00926E52" w:rsidR="00243101" w:rsidP="007D1145" w:rsidRDefault="00243101" w14:paraId="4E7CDA13" w14:textId="77777777">
            <w:pPr>
              <w:pStyle w:val="TableParagraph"/>
              <w:rPr>
                <w:rFonts w:eastAsia="Arial" w:cs="Arial"/>
                <w:sz w:val="18"/>
                <w:szCs w:val="18"/>
              </w:rPr>
            </w:pPr>
            <w:r w:rsidRPr="00926E52">
              <w:rPr>
                <w:rFonts w:cs="Arial"/>
                <w:spacing w:val="-1"/>
                <w:sz w:val="18"/>
                <w:szCs w:val="18"/>
              </w:rPr>
              <w:t>O/E</w:t>
            </w:r>
            <w:r w:rsidRPr="00926E52">
              <w:rPr>
                <w:rFonts w:cs="Arial"/>
                <w:sz w:val="18"/>
                <w:szCs w:val="18"/>
              </w:rPr>
              <w:t xml:space="preserve"> - </w:t>
            </w:r>
            <w:r w:rsidRPr="00926E52">
              <w:rPr>
                <w:rFonts w:cs="Arial"/>
                <w:spacing w:val="-1"/>
                <w:sz w:val="18"/>
                <w:szCs w:val="18"/>
              </w:rPr>
              <w:t>Systolic</w:t>
            </w:r>
            <w:r w:rsidRPr="00926E52">
              <w:rPr>
                <w:rFonts w:cs="Arial"/>
                <w:spacing w:val="1"/>
                <w:sz w:val="18"/>
                <w:szCs w:val="18"/>
              </w:rPr>
              <w:t xml:space="preserve"> </w:t>
            </w:r>
            <w:r w:rsidRPr="00926E52">
              <w:rPr>
                <w:rFonts w:cs="Arial"/>
                <w:sz w:val="18"/>
                <w:szCs w:val="18"/>
              </w:rPr>
              <w:t xml:space="preserve">BP </w:t>
            </w:r>
            <w:r w:rsidRPr="00926E52">
              <w:rPr>
                <w:rFonts w:cs="Arial"/>
                <w:spacing w:val="-1"/>
                <w:sz w:val="18"/>
                <w:szCs w:val="18"/>
              </w:rPr>
              <w:t>reading</w:t>
            </w:r>
          </w:p>
          <w:p w:rsidRPr="00926E52" w:rsidR="00243101" w:rsidP="007D1145" w:rsidRDefault="00243101" w14:paraId="26C6EC76" w14:textId="77777777">
            <w:pPr>
              <w:pStyle w:val="TableParagraph"/>
              <w:rPr>
                <w:rFonts w:eastAsia="Arial" w:cs="Arial"/>
                <w:sz w:val="18"/>
                <w:szCs w:val="18"/>
              </w:rPr>
            </w:pPr>
            <w:r w:rsidRPr="00926E52">
              <w:rPr>
                <w:rFonts w:cs="Arial"/>
                <w:b/>
                <w:sz w:val="18"/>
                <w:szCs w:val="18"/>
              </w:rPr>
              <w:t>(</w:t>
            </w:r>
            <w:r w:rsidRPr="00926E52">
              <w:rPr>
                <w:rFonts w:cs="Arial"/>
                <w:b/>
                <w:spacing w:val="-1"/>
                <w:sz w:val="18"/>
                <w:szCs w:val="18"/>
              </w:rPr>
              <w:t>72313002</w:t>
            </w:r>
            <w:r w:rsidRPr="00926E52">
              <w:rPr>
                <w:rFonts w:cs="Arial"/>
                <w:b/>
                <w:sz w:val="18"/>
                <w:szCs w:val="18"/>
              </w:rPr>
              <w:t>)</w:t>
            </w:r>
          </w:p>
          <w:p w:rsidRPr="00926E52" w:rsidR="00243101" w:rsidP="007D1145" w:rsidRDefault="00243101" w14:paraId="386A3160" w14:textId="77777777">
            <w:pPr>
              <w:pStyle w:val="TableParagraph"/>
              <w:rPr>
                <w:rFonts w:eastAsia="Arial" w:cs="Arial"/>
                <w:sz w:val="18"/>
                <w:szCs w:val="18"/>
              </w:rPr>
            </w:pPr>
            <w:r w:rsidRPr="00926E52">
              <w:rPr>
                <w:rFonts w:cs="Arial"/>
                <w:spacing w:val="-1"/>
                <w:sz w:val="18"/>
                <w:szCs w:val="18"/>
              </w:rPr>
              <w:t>O/E</w:t>
            </w:r>
            <w:r w:rsidRPr="00926E52">
              <w:rPr>
                <w:rFonts w:cs="Arial"/>
                <w:sz w:val="18"/>
                <w:szCs w:val="18"/>
              </w:rPr>
              <w:t xml:space="preserve"> - </w:t>
            </w:r>
            <w:r w:rsidRPr="00926E52">
              <w:rPr>
                <w:rFonts w:cs="Arial"/>
                <w:spacing w:val="-1"/>
                <w:sz w:val="18"/>
                <w:szCs w:val="18"/>
              </w:rPr>
              <w:t>Diastolic</w:t>
            </w:r>
            <w:r w:rsidRPr="00926E52">
              <w:rPr>
                <w:rFonts w:cs="Arial"/>
                <w:spacing w:val="1"/>
                <w:sz w:val="18"/>
                <w:szCs w:val="18"/>
              </w:rPr>
              <w:t xml:space="preserve"> </w:t>
            </w:r>
            <w:r w:rsidRPr="00926E52">
              <w:rPr>
                <w:rFonts w:cs="Arial"/>
                <w:sz w:val="18"/>
                <w:szCs w:val="18"/>
              </w:rPr>
              <w:t xml:space="preserve">BP </w:t>
            </w:r>
            <w:r w:rsidRPr="00926E52">
              <w:rPr>
                <w:rFonts w:cs="Arial"/>
                <w:spacing w:val="-1"/>
                <w:sz w:val="18"/>
                <w:szCs w:val="18"/>
              </w:rPr>
              <w:t>reading</w:t>
            </w:r>
          </w:p>
          <w:p w:rsidR="00243101" w:rsidP="007D1145" w:rsidRDefault="00243101" w14:paraId="5CF506CA" w14:textId="77777777">
            <w:pPr>
              <w:rPr>
                <w:rFonts w:eastAsia="Calibri" w:cstheme="minorHAnsi"/>
                <w:sz w:val="18"/>
                <w:szCs w:val="18"/>
              </w:rPr>
            </w:pPr>
            <w:r w:rsidRPr="00926E52">
              <w:rPr>
                <w:rFonts w:cs="Arial"/>
                <w:b/>
                <w:spacing w:val="-1"/>
                <w:sz w:val="18"/>
                <w:szCs w:val="18"/>
              </w:rPr>
              <w:t>(</w:t>
            </w:r>
            <w:r w:rsidRPr="00926E52">
              <w:rPr>
                <w:rFonts w:cs="Arial"/>
                <w:b/>
                <w:spacing w:val="-2"/>
                <w:sz w:val="18"/>
                <w:szCs w:val="18"/>
              </w:rPr>
              <w:t>1091811000000102</w:t>
            </w:r>
            <w:r w:rsidRPr="00926E52">
              <w:rPr>
                <w:rFonts w:cs="Arial"/>
                <w:b/>
                <w:spacing w:val="-1"/>
                <w:sz w:val="18"/>
                <w:szCs w:val="18"/>
              </w:rPr>
              <w:t>)</w:t>
            </w:r>
          </w:p>
        </w:tc>
        <w:tc>
          <w:tcPr>
            <w:tcW w:w="1722" w:type="dxa"/>
            <w:vAlign w:val="center"/>
          </w:tcPr>
          <w:p w:rsidRPr="00593469" w:rsidR="00243101" w:rsidP="007D1145" w:rsidRDefault="00243101" w14:paraId="3F126832" w14:textId="77777777">
            <w:pPr>
              <w:jc w:val="center"/>
              <w:rPr>
                <w:rFonts w:cstheme="minorHAnsi"/>
                <w:b/>
                <w:bCs/>
                <w:sz w:val="18"/>
                <w:szCs w:val="18"/>
              </w:rPr>
            </w:pPr>
          </w:p>
        </w:tc>
        <w:tc>
          <w:tcPr>
            <w:tcW w:w="1485" w:type="dxa"/>
            <w:vAlign w:val="center"/>
          </w:tcPr>
          <w:p w:rsidRPr="00593469" w:rsidR="00243101" w:rsidP="007D1145" w:rsidRDefault="00243101" w14:paraId="403426D2" w14:textId="77777777">
            <w:pPr>
              <w:jc w:val="center"/>
              <w:rPr>
                <w:rFonts w:cstheme="minorHAnsi"/>
                <w:b/>
                <w:bCs/>
                <w:sz w:val="18"/>
                <w:szCs w:val="18"/>
              </w:rPr>
            </w:pPr>
          </w:p>
        </w:tc>
        <w:tc>
          <w:tcPr>
            <w:tcW w:w="1267" w:type="dxa"/>
            <w:vAlign w:val="center"/>
          </w:tcPr>
          <w:p w:rsidRPr="00593469" w:rsidR="00243101" w:rsidP="007D1145" w:rsidRDefault="00243101" w14:paraId="2BC22C45" w14:textId="77777777">
            <w:pPr>
              <w:pStyle w:val="TableParagraph"/>
              <w:jc w:val="center"/>
              <w:rPr>
                <w:rFonts w:eastAsia="Arial" w:cstheme="minorHAnsi"/>
                <w:sz w:val="18"/>
                <w:szCs w:val="18"/>
              </w:rPr>
            </w:pPr>
          </w:p>
        </w:tc>
        <w:tc>
          <w:tcPr>
            <w:tcW w:w="912" w:type="dxa"/>
            <w:vAlign w:val="center"/>
          </w:tcPr>
          <w:p w:rsidRPr="00593469" w:rsidR="00243101" w:rsidP="007D1145" w:rsidRDefault="00243101" w14:paraId="53290EB5" w14:textId="77777777">
            <w:pPr>
              <w:pStyle w:val="TableParagraph"/>
              <w:jc w:val="center"/>
              <w:rPr>
                <w:rFonts w:eastAsia="Arial" w:cstheme="minorHAnsi"/>
                <w:sz w:val="18"/>
                <w:szCs w:val="18"/>
              </w:rPr>
            </w:pPr>
          </w:p>
        </w:tc>
        <w:tc>
          <w:tcPr>
            <w:tcW w:w="1159" w:type="dxa"/>
            <w:vAlign w:val="center"/>
          </w:tcPr>
          <w:p w:rsidRPr="00593469" w:rsidR="00243101" w:rsidP="007D1145" w:rsidRDefault="00243101" w14:paraId="69262612" w14:textId="77777777">
            <w:pPr>
              <w:pStyle w:val="TableParagraph"/>
              <w:jc w:val="center"/>
              <w:rPr>
                <w:rFonts w:eastAsia="Arial" w:cstheme="minorHAnsi"/>
                <w:sz w:val="18"/>
                <w:szCs w:val="18"/>
              </w:rPr>
            </w:pPr>
            <w:r w:rsidRPr="0089352A">
              <w:rPr>
                <w:rFonts w:eastAsia="Arial" w:cstheme="minorHAnsi"/>
                <w:sz w:val="18"/>
                <w:szCs w:val="18"/>
              </w:rPr>
              <w:t>Monthly – via the WSIC Tier 2 Dashboard</w:t>
            </w:r>
          </w:p>
        </w:tc>
      </w:tr>
      <w:tr w:rsidRPr="00593469" w:rsidR="00243101" w:rsidTr="00100047" w14:paraId="4388F2F2" w14:textId="77777777">
        <w:trPr>
          <w:trHeight w:val="13"/>
        </w:trPr>
        <w:tc>
          <w:tcPr>
            <w:tcW w:w="945" w:type="dxa"/>
            <w:vAlign w:val="center"/>
          </w:tcPr>
          <w:p w:rsidRPr="00593469" w:rsidR="00243101" w:rsidP="007D1145" w:rsidRDefault="00243101" w14:paraId="53261A6A" w14:textId="77777777">
            <w:pPr>
              <w:pStyle w:val="TableParagraph"/>
              <w:jc w:val="center"/>
              <w:rPr>
                <w:rFonts w:cstheme="minorHAnsi"/>
                <w:b/>
                <w:bCs/>
                <w:sz w:val="18"/>
                <w:szCs w:val="18"/>
              </w:rPr>
            </w:pPr>
            <w:r>
              <w:rPr>
                <w:rFonts w:cstheme="minorHAnsi"/>
                <w:b/>
                <w:bCs/>
                <w:sz w:val="18"/>
                <w:szCs w:val="18"/>
              </w:rPr>
              <w:t>DL207c</w:t>
            </w:r>
          </w:p>
        </w:tc>
        <w:tc>
          <w:tcPr>
            <w:tcW w:w="2673" w:type="dxa"/>
            <w:vAlign w:val="center"/>
          </w:tcPr>
          <w:p w:rsidRPr="00593469" w:rsidR="00243101" w:rsidP="007D1145" w:rsidRDefault="00243101" w14:paraId="77D04678" w14:textId="77777777">
            <w:pPr>
              <w:rPr>
                <w:rFonts w:cstheme="minorHAnsi"/>
                <w:sz w:val="18"/>
                <w:szCs w:val="18"/>
                <w:lang w:val="en-GB"/>
              </w:rPr>
            </w:pPr>
            <w:r>
              <w:rPr>
                <w:rFonts w:cstheme="minorHAnsi"/>
                <w:sz w:val="18"/>
                <w:szCs w:val="18"/>
                <w:lang w:val="en-GB"/>
              </w:rPr>
              <w:t>Average change in lipids 3m, 6m, 12m following EOT2D review</w:t>
            </w:r>
          </w:p>
        </w:tc>
        <w:tc>
          <w:tcPr>
            <w:tcW w:w="3909" w:type="dxa"/>
            <w:shd w:val="clear" w:color="auto" w:fill="DBE4F0"/>
            <w:vAlign w:val="center"/>
          </w:tcPr>
          <w:p w:rsidR="00243101" w:rsidP="007D1145" w:rsidRDefault="00243101" w14:paraId="0C2C745D" w14:textId="77777777">
            <w:pPr>
              <w:rPr>
                <w:rFonts w:eastAsia="Calibri" w:cstheme="minorHAnsi"/>
                <w:sz w:val="18"/>
                <w:szCs w:val="18"/>
              </w:rPr>
            </w:pPr>
            <w:r w:rsidRPr="00926E52">
              <w:rPr>
                <w:rFonts w:eastAsia="Arial" w:cs="Arial"/>
                <w:sz w:val="18"/>
                <w:szCs w:val="18"/>
              </w:rPr>
              <w:t>Non high density lipoprotein cholesterol level (</w:t>
            </w:r>
            <w:r w:rsidRPr="00926E52">
              <w:rPr>
                <w:rFonts w:eastAsia="Arial" w:cs="Arial"/>
                <w:b/>
                <w:bCs/>
                <w:sz w:val="18"/>
                <w:szCs w:val="18"/>
              </w:rPr>
              <w:t>1030411000000101</w:t>
            </w:r>
            <w:r>
              <w:rPr>
                <w:rFonts w:eastAsia="Arial" w:cs="Arial"/>
                <w:sz w:val="18"/>
                <w:szCs w:val="18"/>
              </w:rPr>
              <w:t>)</w:t>
            </w:r>
          </w:p>
        </w:tc>
        <w:tc>
          <w:tcPr>
            <w:tcW w:w="1722" w:type="dxa"/>
            <w:vAlign w:val="center"/>
          </w:tcPr>
          <w:p w:rsidRPr="00593469" w:rsidR="00243101" w:rsidP="007D1145" w:rsidRDefault="00243101" w14:paraId="2078D68C" w14:textId="77777777">
            <w:pPr>
              <w:jc w:val="center"/>
              <w:rPr>
                <w:rFonts w:cstheme="minorHAnsi"/>
                <w:b/>
                <w:bCs/>
                <w:sz w:val="18"/>
                <w:szCs w:val="18"/>
              </w:rPr>
            </w:pPr>
          </w:p>
        </w:tc>
        <w:tc>
          <w:tcPr>
            <w:tcW w:w="1485" w:type="dxa"/>
            <w:vAlign w:val="center"/>
          </w:tcPr>
          <w:p w:rsidRPr="00593469" w:rsidR="00243101" w:rsidP="007D1145" w:rsidRDefault="00243101" w14:paraId="56CB8CA1" w14:textId="77777777">
            <w:pPr>
              <w:jc w:val="center"/>
              <w:rPr>
                <w:rFonts w:cstheme="minorHAnsi"/>
                <w:b/>
                <w:bCs/>
                <w:sz w:val="18"/>
                <w:szCs w:val="18"/>
              </w:rPr>
            </w:pPr>
          </w:p>
        </w:tc>
        <w:tc>
          <w:tcPr>
            <w:tcW w:w="1267" w:type="dxa"/>
            <w:vAlign w:val="center"/>
          </w:tcPr>
          <w:p w:rsidRPr="00593469" w:rsidR="00243101" w:rsidP="007D1145" w:rsidRDefault="00243101" w14:paraId="59DED92C" w14:textId="77777777">
            <w:pPr>
              <w:pStyle w:val="TableParagraph"/>
              <w:jc w:val="center"/>
              <w:rPr>
                <w:rFonts w:eastAsia="Arial" w:cstheme="minorHAnsi"/>
                <w:sz w:val="18"/>
                <w:szCs w:val="18"/>
              </w:rPr>
            </w:pPr>
          </w:p>
        </w:tc>
        <w:tc>
          <w:tcPr>
            <w:tcW w:w="912" w:type="dxa"/>
            <w:vAlign w:val="center"/>
          </w:tcPr>
          <w:p w:rsidRPr="00593469" w:rsidR="00243101" w:rsidP="007D1145" w:rsidRDefault="00243101" w14:paraId="553E6146" w14:textId="77777777">
            <w:pPr>
              <w:pStyle w:val="TableParagraph"/>
              <w:jc w:val="center"/>
              <w:rPr>
                <w:rFonts w:eastAsia="Arial" w:cstheme="minorHAnsi"/>
                <w:sz w:val="18"/>
                <w:szCs w:val="18"/>
              </w:rPr>
            </w:pPr>
          </w:p>
        </w:tc>
        <w:tc>
          <w:tcPr>
            <w:tcW w:w="1159" w:type="dxa"/>
            <w:vAlign w:val="center"/>
          </w:tcPr>
          <w:p w:rsidRPr="00593469" w:rsidR="00243101" w:rsidP="007D1145" w:rsidRDefault="00243101" w14:paraId="552690AC" w14:textId="77777777">
            <w:pPr>
              <w:pStyle w:val="TableParagraph"/>
              <w:jc w:val="center"/>
              <w:rPr>
                <w:rFonts w:eastAsia="Arial" w:cstheme="minorHAnsi"/>
                <w:sz w:val="18"/>
                <w:szCs w:val="18"/>
              </w:rPr>
            </w:pPr>
            <w:r w:rsidRPr="0089352A">
              <w:rPr>
                <w:rFonts w:eastAsia="Arial" w:cstheme="minorHAnsi"/>
                <w:sz w:val="18"/>
                <w:szCs w:val="18"/>
              </w:rPr>
              <w:t>Monthly – via the WSIC Tier 2 Dashboard</w:t>
            </w:r>
          </w:p>
        </w:tc>
      </w:tr>
      <w:tr w:rsidRPr="00593469" w:rsidR="00243101" w:rsidTr="00100047" w14:paraId="32F12CC0" w14:textId="77777777">
        <w:trPr>
          <w:trHeight w:val="13"/>
        </w:trPr>
        <w:tc>
          <w:tcPr>
            <w:tcW w:w="945" w:type="dxa"/>
            <w:vAlign w:val="center"/>
          </w:tcPr>
          <w:p w:rsidRPr="00593469" w:rsidR="00243101" w:rsidP="007D1145" w:rsidRDefault="00243101" w14:paraId="77DD0D4B" w14:textId="77777777">
            <w:pPr>
              <w:pStyle w:val="TableParagraph"/>
              <w:jc w:val="center"/>
              <w:rPr>
                <w:rFonts w:cstheme="minorHAnsi"/>
                <w:b/>
                <w:bCs/>
                <w:sz w:val="18"/>
                <w:szCs w:val="18"/>
              </w:rPr>
            </w:pPr>
            <w:r>
              <w:rPr>
                <w:rFonts w:cstheme="minorHAnsi"/>
                <w:b/>
                <w:bCs/>
                <w:sz w:val="18"/>
                <w:szCs w:val="18"/>
              </w:rPr>
              <w:t>DL207d</w:t>
            </w:r>
          </w:p>
        </w:tc>
        <w:tc>
          <w:tcPr>
            <w:tcW w:w="2673" w:type="dxa"/>
            <w:vAlign w:val="center"/>
          </w:tcPr>
          <w:p w:rsidRPr="00593469" w:rsidR="00243101" w:rsidP="007D1145" w:rsidRDefault="00243101" w14:paraId="7653FF36" w14:textId="77777777">
            <w:pPr>
              <w:rPr>
                <w:rFonts w:cstheme="minorHAnsi"/>
                <w:sz w:val="18"/>
                <w:szCs w:val="18"/>
                <w:lang w:val="en-GB"/>
              </w:rPr>
            </w:pPr>
            <w:r>
              <w:rPr>
                <w:rFonts w:cstheme="minorHAnsi"/>
                <w:sz w:val="18"/>
                <w:szCs w:val="18"/>
                <w:lang w:val="en-GB"/>
              </w:rPr>
              <w:t>Average change in weight 3m, 6m, 12m following EOT2D review</w:t>
            </w:r>
          </w:p>
        </w:tc>
        <w:tc>
          <w:tcPr>
            <w:tcW w:w="3909" w:type="dxa"/>
            <w:shd w:val="clear" w:color="auto" w:fill="DBE4F0"/>
            <w:vAlign w:val="center"/>
          </w:tcPr>
          <w:p w:rsidR="00243101" w:rsidP="007D1145" w:rsidRDefault="00243101" w14:paraId="0F72BC52" w14:textId="77777777">
            <w:pPr>
              <w:rPr>
                <w:rFonts w:eastAsia="Calibri" w:cstheme="minorHAnsi"/>
                <w:sz w:val="18"/>
                <w:szCs w:val="18"/>
              </w:rPr>
            </w:pPr>
            <w:r w:rsidRPr="00310D79">
              <w:rPr>
                <w:rFonts w:eastAsia="Calibri" w:cstheme="minorHAnsi"/>
                <w:sz w:val="18"/>
                <w:szCs w:val="18"/>
              </w:rPr>
              <w:t>On examination - weight (</w:t>
            </w:r>
            <w:r w:rsidRPr="00310D79">
              <w:rPr>
                <w:rFonts w:eastAsia="Calibri" w:cstheme="minorHAnsi"/>
                <w:b/>
                <w:bCs/>
                <w:sz w:val="18"/>
                <w:szCs w:val="18"/>
              </w:rPr>
              <w:t>162763007</w:t>
            </w:r>
            <w:r w:rsidRPr="00310D79">
              <w:rPr>
                <w:rFonts w:eastAsia="Calibri" w:cstheme="minorHAnsi"/>
                <w:sz w:val="18"/>
                <w:szCs w:val="18"/>
              </w:rPr>
              <w:t>)</w:t>
            </w:r>
          </w:p>
        </w:tc>
        <w:tc>
          <w:tcPr>
            <w:tcW w:w="1722" w:type="dxa"/>
            <w:vAlign w:val="center"/>
          </w:tcPr>
          <w:p w:rsidRPr="00593469" w:rsidR="00243101" w:rsidP="007D1145" w:rsidRDefault="00243101" w14:paraId="3FAF5973" w14:textId="77777777">
            <w:pPr>
              <w:jc w:val="center"/>
              <w:rPr>
                <w:rFonts w:cstheme="minorHAnsi"/>
                <w:b/>
                <w:bCs/>
                <w:sz w:val="18"/>
                <w:szCs w:val="18"/>
              </w:rPr>
            </w:pPr>
          </w:p>
        </w:tc>
        <w:tc>
          <w:tcPr>
            <w:tcW w:w="1485" w:type="dxa"/>
            <w:vAlign w:val="center"/>
          </w:tcPr>
          <w:p w:rsidRPr="00593469" w:rsidR="00243101" w:rsidP="007D1145" w:rsidRDefault="00243101" w14:paraId="45076B71" w14:textId="77777777">
            <w:pPr>
              <w:jc w:val="center"/>
              <w:rPr>
                <w:rFonts w:cstheme="minorHAnsi"/>
                <w:b/>
                <w:bCs/>
                <w:sz w:val="18"/>
                <w:szCs w:val="18"/>
              </w:rPr>
            </w:pPr>
          </w:p>
        </w:tc>
        <w:tc>
          <w:tcPr>
            <w:tcW w:w="1267" w:type="dxa"/>
            <w:vAlign w:val="center"/>
          </w:tcPr>
          <w:p w:rsidRPr="00593469" w:rsidR="00243101" w:rsidP="007D1145" w:rsidRDefault="00243101" w14:paraId="48B19FA6" w14:textId="77777777">
            <w:pPr>
              <w:pStyle w:val="TableParagraph"/>
              <w:jc w:val="center"/>
              <w:rPr>
                <w:rFonts w:eastAsia="Arial" w:cstheme="minorHAnsi"/>
                <w:sz w:val="18"/>
                <w:szCs w:val="18"/>
              </w:rPr>
            </w:pPr>
          </w:p>
        </w:tc>
        <w:tc>
          <w:tcPr>
            <w:tcW w:w="912" w:type="dxa"/>
            <w:vAlign w:val="center"/>
          </w:tcPr>
          <w:p w:rsidRPr="00593469" w:rsidR="00243101" w:rsidP="007D1145" w:rsidRDefault="00243101" w14:paraId="614675B9" w14:textId="77777777">
            <w:pPr>
              <w:pStyle w:val="TableParagraph"/>
              <w:jc w:val="center"/>
              <w:rPr>
                <w:rFonts w:eastAsia="Arial" w:cstheme="minorHAnsi"/>
                <w:sz w:val="18"/>
                <w:szCs w:val="18"/>
              </w:rPr>
            </w:pPr>
          </w:p>
        </w:tc>
        <w:tc>
          <w:tcPr>
            <w:tcW w:w="1159" w:type="dxa"/>
            <w:vAlign w:val="center"/>
          </w:tcPr>
          <w:p w:rsidRPr="00593469" w:rsidR="00243101" w:rsidP="007D1145" w:rsidRDefault="00243101" w14:paraId="671F32EA" w14:textId="77777777">
            <w:pPr>
              <w:pStyle w:val="TableParagraph"/>
              <w:jc w:val="center"/>
              <w:rPr>
                <w:rFonts w:eastAsia="Arial" w:cstheme="minorHAnsi"/>
                <w:sz w:val="18"/>
                <w:szCs w:val="18"/>
              </w:rPr>
            </w:pPr>
            <w:r w:rsidRPr="0089352A">
              <w:rPr>
                <w:rFonts w:eastAsia="Arial" w:cstheme="minorHAnsi"/>
                <w:sz w:val="18"/>
                <w:szCs w:val="18"/>
              </w:rPr>
              <w:t>Monthly – via the WSIC Tier 2 Dashboard</w:t>
            </w:r>
          </w:p>
        </w:tc>
      </w:tr>
      <w:tr w:rsidRPr="00593469" w:rsidR="00243101" w:rsidTr="00100047" w14:paraId="3A2D264A" w14:textId="77777777">
        <w:trPr>
          <w:trHeight w:val="13"/>
        </w:trPr>
        <w:tc>
          <w:tcPr>
            <w:tcW w:w="945" w:type="dxa"/>
            <w:vAlign w:val="center"/>
          </w:tcPr>
          <w:p w:rsidRPr="00593469" w:rsidR="00243101" w:rsidP="007D1145" w:rsidRDefault="00243101" w14:paraId="694E913F" w14:textId="77777777">
            <w:pPr>
              <w:pStyle w:val="TableParagraph"/>
              <w:jc w:val="center"/>
              <w:rPr>
                <w:rFonts w:cstheme="minorHAnsi"/>
                <w:b/>
                <w:bCs/>
                <w:sz w:val="18"/>
                <w:szCs w:val="18"/>
              </w:rPr>
            </w:pPr>
            <w:r>
              <w:rPr>
                <w:rFonts w:cstheme="minorHAnsi"/>
                <w:b/>
                <w:bCs/>
                <w:sz w:val="18"/>
                <w:szCs w:val="18"/>
              </w:rPr>
              <w:t>DL207e</w:t>
            </w:r>
          </w:p>
        </w:tc>
        <w:tc>
          <w:tcPr>
            <w:tcW w:w="2673" w:type="dxa"/>
            <w:vAlign w:val="center"/>
          </w:tcPr>
          <w:p w:rsidRPr="00593469" w:rsidR="00243101" w:rsidP="007D1145" w:rsidRDefault="00243101" w14:paraId="06271361" w14:textId="77777777">
            <w:pPr>
              <w:rPr>
                <w:rFonts w:cstheme="minorHAnsi"/>
                <w:sz w:val="18"/>
                <w:szCs w:val="18"/>
                <w:lang w:val="en-GB"/>
              </w:rPr>
            </w:pPr>
            <w:r>
              <w:rPr>
                <w:rFonts w:cstheme="minorHAnsi"/>
                <w:sz w:val="18"/>
                <w:szCs w:val="18"/>
                <w:lang w:val="en-GB"/>
              </w:rPr>
              <w:t>Average change in BMI 3m, 6m, 12m following EOT2D review</w:t>
            </w:r>
          </w:p>
        </w:tc>
        <w:tc>
          <w:tcPr>
            <w:tcW w:w="3909" w:type="dxa"/>
            <w:shd w:val="clear" w:color="auto" w:fill="DBE4F0"/>
            <w:vAlign w:val="center"/>
          </w:tcPr>
          <w:p w:rsidR="00243101" w:rsidP="007D1145" w:rsidRDefault="00243101" w14:paraId="241F1C86" w14:textId="77777777">
            <w:pPr>
              <w:rPr>
                <w:rFonts w:eastAsia="Calibri" w:cstheme="minorHAnsi"/>
                <w:sz w:val="18"/>
                <w:szCs w:val="18"/>
              </w:rPr>
            </w:pPr>
            <w:r w:rsidRPr="00926E52">
              <w:rPr>
                <w:rFonts w:cs="Arial"/>
                <w:spacing w:val="-1"/>
                <w:sz w:val="18"/>
                <w:szCs w:val="18"/>
              </w:rPr>
              <w:t>Body Mass Index</w:t>
            </w:r>
            <w:r w:rsidRPr="00926E52">
              <w:rPr>
                <w:rFonts w:cs="Arial"/>
                <w:spacing w:val="-2"/>
                <w:sz w:val="18"/>
                <w:szCs w:val="18"/>
              </w:rPr>
              <w:t xml:space="preserve"> </w:t>
            </w:r>
            <w:r w:rsidRPr="00926E52">
              <w:rPr>
                <w:rFonts w:cs="Arial"/>
                <w:sz w:val="18"/>
                <w:szCs w:val="18"/>
              </w:rPr>
              <w:t xml:space="preserve">- </w:t>
            </w:r>
            <w:r w:rsidRPr="00926E52">
              <w:rPr>
                <w:rFonts w:cs="Arial"/>
                <w:spacing w:val="-1"/>
                <w:sz w:val="18"/>
                <w:szCs w:val="18"/>
              </w:rPr>
              <w:t>observation</w:t>
            </w:r>
            <w:r w:rsidRPr="00926E52">
              <w:rPr>
                <w:rFonts w:cs="Arial"/>
                <w:sz w:val="18"/>
                <w:szCs w:val="18"/>
              </w:rPr>
              <w:t xml:space="preserve"> </w:t>
            </w:r>
            <w:r w:rsidRPr="00926E52">
              <w:rPr>
                <w:rFonts w:cs="Arial"/>
                <w:b/>
                <w:spacing w:val="-1"/>
                <w:sz w:val="18"/>
                <w:szCs w:val="18"/>
              </w:rPr>
              <w:t>(60621009)</w:t>
            </w:r>
          </w:p>
        </w:tc>
        <w:tc>
          <w:tcPr>
            <w:tcW w:w="1722" w:type="dxa"/>
            <w:vAlign w:val="center"/>
          </w:tcPr>
          <w:p w:rsidRPr="00593469" w:rsidR="00243101" w:rsidP="007D1145" w:rsidRDefault="00243101" w14:paraId="58960191" w14:textId="77777777">
            <w:pPr>
              <w:jc w:val="center"/>
              <w:rPr>
                <w:rFonts w:cstheme="minorHAnsi"/>
                <w:b/>
                <w:bCs/>
                <w:sz w:val="18"/>
                <w:szCs w:val="18"/>
              </w:rPr>
            </w:pPr>
          </w:p>
        </w:tc>
        <w:tc>
          <w:tcPr>
            <w:tcW w:w="1485" w:type="dxa"/>
            <w:vAlign w:val="center"/>
          </w:tcPr>
          <w:p w:rsidRPr="00593469" w:rsidR="00243101" w:rsidP="007D1145" w:rsidRDefault="00243101" w14:paraId="0DC6FD0F" w14:textId="77777777">
            <w:pPr>
              <w:jc w:val="center"/>
              <w:rPr>
                <w:rFonts w:cstheme="minorHAnsi"/>
                <w:b/>
                <w:bCs/>
                <w:sz w:val="18"/>
                <w:szCs w:val="18"/>
              </w:rPr>
            </w:pPr>
          </w:p>
        </w:tc>
        <w:tc>
          <w:tcPr>
            <w:tcW w:w="1267" w:type="dxa"/>
            <w:vAlign w:val="center"/>
          </w:tcPr>
          <w:p w:rsidRPr="00593469" w:rsidR="00243101" w:rsidP="007D1145" w:rsidRDefault="00243101" w14:paraId="25E6D2B6" w14:textId="77777777">
            <w:pPr>
              <w:pStyle w:val="TableParagraph"/>
              <w:jc w:val="center"/>
              <w:rPr>
                <w:rFonts w:eastAsia="Arial" w:cstheme="minorHAnsi"/>
                <w:sz w:val="18"/>
                <w:szCs w:val="18"/>
              </w:rPr>
            </w:pPr>
          </w:p>
        </w:tc>
        <w:tc>
          <w:tcPr>
            <w:tcW w:w="912" w:type="dxa"/>
            <w:vAlign w:val="center"/>
          </w:tcPr>
          <w:p w:rsidRPr="00593469" w:rsidR="00243101" w:rsidP="007D1145" w:rsidRDefault="00243101" w14:paraId="232E54AE" w14:textId="77777777">
            <w:pPr>
              <w:pStyle w:val="TableParagraph"/>
              <w:jc w:val="center"/>
              <w:rPr>
                <w:rFonts w:eastAsia="Arial" w:cstheme="minorHAnsi"/>
                <w:sz w:val="18"/>
                <w:szCs w:val="18"/>
              </w:rPr>
            </w:pPr>
          </w:p>
        </w:tc>
        <w:tc>
          <w:tcPr>
            <w:tcW w:w="1159" w:type="dxa"/>
            <w:vAlign w:val="center"/>
          </w:tcPr>
          <w:p w:rsidRPr="00593469" w:rsidR="00243101" w:rsidP="007D1145" w:rsidRDefault="00243101" w14:paraId="43735268" w14:textId="77777777">
            <w:pPr>
              <w:pStyle w:val="TableParagraph"/>
              <w:jc w:val="center"/>
              <w:rPr>
                <w:rFonts w:eastAsia="Arial" w:cstheme="minorHAnsi"/>
                <w:sz w:val="18"/>
                <w:szCs w:val="18"/>
              </w:rPr>
            </w:pPr>
            <w:r w:rsidRPr="0089352A">
              <w:rPr>
                <w:rFonts w:eastAsia="Arial" w:cstheme="minorHAnsi"/>
                <w:sz w:val="18"/>
                <w:szCs w:val="18"/>
              </w:rPr>
              <w:t>Monthly – via the WSIC Tier 2 Dashboard</w:t>
            </w:r>
          </w:p>
        </w:tc>
      </w:tr>
      <w:tr w:rsidRPr="00593469" w:rsidR="0063213E" w:rsidTr="00100047" w14:paraId="155F6596" w14:textId="77777777">
        <w:trPr>
          <w:trHeight w:val="13"/>
        </w:trPr>
        <w:tc>
          <w:tcPr>
            <w:tcW w:w="945" w:type="dxa"/>
            <w:vAlign w:val="center"/>
          </w:tcPr>
          <w:p w:rsidRPr="00593469" w:rsidR="0063213E" w:rsidP="0063213E" w:rsidRDefault="0063213E" w14:paraId="7122BBCC" w14:textId="77777777">
            <w:pPr>
              <w:pStyle w:val="TableParagraph"/>
              <w:jc w:val="center"/>
              <w:rPr>
                <w:rFonts w:cstheme="minorHAnsi"/>
                <w:b/>
                <w:bCs/>
                <w:sz w:val="18"/>
                <w:szCs w:val="18"/>
              </w:rPr>
            </w:pPr>
            <w:r>
              <w:rPr>
                <w:rFonts w:cstheme="minorHAnsi"/>
                <w:b/>
                <w:bCs/>
                <w:sz w:val="18"/>
                <w:szCs w:val="18"/>
              </w:rPr>
              <w:t>DL207f</w:t>
            </w:r>
          </w:p>
        </w:tc>
        <w:tc>
          <w:tcPr>
            <w:tcW w:w="2673" w:type="dxa"/>
            <w:vAlign w:val="center"/>
          </w:tcPr>
          <w:p w:rsidRPr="00593469" w:rsidR="0063213E" w:rsidP="0063213E" w:rsidRDefault="0063213E" w14:paraId="5C8B75EC" w14:textId="5CCEEBB2">
            <w:pPr>
              <w:rPr>
                <w:rFonts w:cstheme="minorHAnsi"/>
                <w:sz w:val="18"/>
                <w:szCs w:val="18"/>
                <w:lang w:val="en-GB"/>
              </w:rPr>
            </w:pPr>
            <w:r>
              <w:rPr>
                <w:rFonts w:cstheme="minorHAnsi"/>
                <w:sz w:val="18"/>
                <w:szCs w:val="18"/>
                <w:lang w:val="en-GB"/>
              </w:rPr>
              <w:t>% of people with EOT2D referred to weight management programmes</w:t>
            </w:r>
          </w:p>
        </w:tc>
        <w:tc>
          <w:tcPr>
            <w:tcW w:w="3909" w:type="dxa"/>
            <w:shd w:val="clear" w:color="auto" w:fill="DBE4F0"/>
            <w:vAlign w:val="center"/>
          </w:tcPr>
          <w:p w:rsidR="0063213E" w:rsidP="0063213E" w:rsidRDefault="0063213E" w14:paraId="6D37BF77" w14:textId="77777777">
            <w:pPr>
              <w:rPr>
                <w:rFonts w:eastAsia="Calibri" w:cstheme="minorHAnsi"/>
                <w:sz w:val="18"/>
                <w:szCs w:val="18"/>
              </w:rPr>
            </w:pPr>
            <w:r>
              <w:rPr>
                <w:rFonts w:eastAsia="Calibri" w:cstheme="minorHAnsi"/>
                <w:sz w:val="18"/>
                <w:szCs w:val="18"/>
              </w:rPr>
              <w:t>Any of the following:</w:t>
            </w:r>
          </w:p>
          <w:p w:rsidR="00BB55ED" w:rsidP="0063213E" w:rsidRDefault="00BB55ED" w14:paraId="15823394" w14:textId="77777777">
            <w:pPr>
              <w:pStyle w:val="ListParagraph"/>
              <w:numPr>
                <w:ilvl w:val="0"/>
                <w:numId w:val="65"/>
              </w:numPr>
              <w:rPr>
                <w:rFonts w:eastAsia="Calibri" w:cstheme="minorHAnsi"/>
                <w:sz w:val="18"/>
                <w:szCs w:val="18"/>
              </w:rPr>
            </w:pPr>
          </w:p>
          <w:p w:rsidR="0063213E" w:rsidP="0063213E" w:rsidRDefault="0063213E" w14:paraId="0EB9252E" w14:textId="2CDC2B9F">
            <w:pPr>
              <w:pStyle w:val="ListParagraph"/>
              <w:numPr>
                <w:ilvl w:val="0"/>
                <w:numId w:val="65"/>
              </w:numPr>
              <w:rPr>
                <w:rFonts w:eastAsia="Calibri" w:cstheme="minorHAnsi"/>
                <w:sz w:val="18"/>
                <w:szCs w:val="18"/>
              </w:rPr>
            </w:pPr>
            <w:r w:rsidRPr="00C2385B">
              <w:rPr>
                <w:rFonts w:eastAsia="Calibri" w:cstheme="minorHAnsi"/>
                <w:sz w:val="18"/>
                <w:szCs w:val="18"/>
              </w:rPr>
              <w:t>Referral to NHS Digital Weight Management Programme (</w:t>
            </w:r>
            <w:r w:rsidRPr="00C2385B">
              <w:rPr>
                <w:rFonts w:eastAsia="Calibri" w:cstheme="minorHAnsi"/>
                <w:b/>
                <w:bCs/>
                <w:sz w:val="18"/>
                <w:szCs w:val="18"/>
              </w:rPr>
              <w:t>1402911000000108</w:t>
            </w:r>
            <w:r w:rsidRPr="00C2385B">
              <w:rPr>
                <w:rFonts w:eastAsia="Calibri" w:cstheme="minorHAnsi"/>
                <w:sz w:val="18"/>
                <w:szCs w:val="18"/>
              </w:rPr>
              <w:t>)</w:t>
            </w:r>
          </w:p>
          <w:p w:rsidR="0063213E" w:rsidP="0063213E" w:rsidRDefault="0063213E" w14:paraId="6FD40D61" w14:textId="77777777">
            <w:pPr>
              <w:pStyle w:val="ListParagraph"/>
              <w:numPr>
                <w:ilvl w:val="0"/>
                <w:numId w:val="65"/>
              </w:numPr>
              <w:rPr>
                <w:rFonts w:eastAsia="Calibri" w:cstheme="minorHAnsi"/>
                <w:sz w:val="18"/>
                <w:szCs w:val="18"/>
              </w:rPr>
            </w:pPr>
            <w:r w:rsidRPr="00C2385B">
              <w:rPr>
                <w:rFonts w:eastAsia="Calibri" w:cstheme="minorHAnsi"/>
                <w:sz w:val="18"/>
                <w:szCs w:val="18"/>
              </w:rPr>
              <w:t>Referral to weight management service (</w:t>
            </w:r>
            <w:r w:rsidRPr="00C2385B">
              <w:rPr>
                <w:rFonts w:eastAsia="Calibri" w:cstheme="minorHAnsi"/>
                <w:b/>
                <w:bCs/>
                <w:sz w:val="18"/>
                <w:szCs w:val="18"/>
              </w:rPr>
              <w:t>1326201000000101</w:t>
            </w:r>
            <w:r w:rsidRPr="00C2385B">
              <w:rPr>
                <w:rFonts w:eastAsia="Calibri" w:cstheme="minorHAnsi"/>
                <w:sz w:val="18"/>
                <w:szCs w:val="18"/>
              </w:rPr>
              <w:t xml:space="preserve">) </w:t>
            </w:r>
          </w:p>
          <w:p w:rsidR="0063213E" w:rsidP="0063213E" w:rsidRDefault="0063213E" w14:paraId="351240DE" w14:textId="77777777">
            <w:pPr>
              <w:pStyle w:val="ListParagraph"/>
              <w:numPr>
                <w:ilvl w:val="0"/>
                <w:numId w:val="65"/>
              </w:numPr>
              <w:rPr>
                <w:rFonts w:eastAsia="Calibri" w:cstheme="minorHAnsi"/>
                <w:sz w:val="18"/>
                <w:szCs w:val="18"/>
              </w:rPr>
            </w:pPr>
            <w:r w:rsidRPr="00C2385B">
              <w:rPr>
                <w:rFonts w:eastAsia="Calibri" w:cstheme="minorHAnsi"/>
                <w:sz w:val="18"/>
                <w:szCs w:val="18"/>
              </w:rPr>
              <w:t xml:space="preserve">Referral to National Health Service Tier 3 specialist weight management service </w:t>
            </w:r>
            <w:r w:rsidRPr="00C2385B">
              <w:rPr>
                <w:rFonts w:eastAsia="Calibri" w:cstheme="minorHAnsi"/>
                <w:sz w:val="18"/>
                <w:szCs w:val="18"/>
              </w:rPr>
              <w:lastRenderedPageBreak/>
              <w:t>(</w:t>
            </w:r>
            <w:r w:rsidRPr="00C2385B">
              <w:rPr>
                <w:rFonts w:eastAsia="Calibri" w:cstheme="minorHAnsi"/>
                <w:b/>
                <w:bCs/>
                <w:sz w:val="18"/>
                <w:szCs w:val="18"/>
              </w:rPr>
              <w:t>1403011000000103</w:t>
            </w:r>
            <w:r w:rsidRPr="00C2385B">
              <w:rPr>
                <w:rFonts w:eastAsia="Calibri" w:cstheme="minorHAnsi"/>
                <w:sz w:val="18"/>
                <w:szCs w:val="18"/>
              </w:rPr>
              <w:t>)</w:t>
            </w:r>
          </w:p>
          <w:p w:rsidR="0063213E" w:rsidP="0063213E" w:rsidRDefault="0063213E" w14:paraId="184F5D97" w14:textId="77777777">
            <w:pPr>
              <w:pStyle w:val="ListParagraph"/>
              <w:numPr>
                <w:ilvl w:val="0"/>
                <w:numId w:val="65"/>
              </w:numPr>
              <w:rPr>
                <w:rFonts w:eastAsia="Calibri" w:cstheme="minorHAnsi"/>
                <w:sz w:val="18"/>
                <w:szCs w:val="18"/>
              </w:rPr>
            </w:pPr>
            <w:r w:rsidRPr="00C2385B">
              <w:rPr>
                <w:rFonts w:eastAsia="Calibri" w:cstheme="minorHAnsi"/>
                <w:sz w:val="18"/>
                <w:szCs w:val="18"/>
              </w:rPr>
              <w:t>Referral to NHS Tier 4 specialist weight management service (</w:t>
            </w:r>
            <w:r w:rsidRPr="00C2385B">
              <w:rPr>
                <w:rFonts w:eastAsia="Calibri" w:cstheme="minorHAnsi"/>
                <w:b/>
                <w:bCs/>
                <w:sz w:val="18"/>
                <w:szCs w:val="18"/>
              </w:rPr>
              <w:t>1402991000000104</w:t>
            </w:r>
            <w:r w:rsidRPr="00C2385B">
              <w:rPr>
                <w:rFonts w:eastAsia="Calibri" w:cstheme="minorHAnsi"/>
                <w:sz w:val="18"/>
                <w:szCs w:val="18"/>
              </w:rPr>
              <w:t>)</w:t>
            </w:r>
          </w:p>
          <w:p w:rsidR="0063213E" w:rsidP="0063213E" w:rsidRDefault="0063213E" w14:paraId="721CE4D5" w14:textId="77777777">
            <w:pPr>
              <w:pStyle w:val="ListParagraph"/>
              <w:numPr>
                <w:ilvl w:val="0"/>
                <w:numId w:val="65"/>
              </w:numPr>
              <w:rPr>
                <w:rFonts w:eastAsia="Calibri" w:cstheme="minorHAnsi"/>
                <w:sz w:val="18"/>
                <w:szCs w:val="18"/>
              </w:rPr>
            </w:pPr>
            <w:r w:rsidRPr="00C2385B">
              <w:rPr>
                <w:rFonts w:eastAsia="Calibri" w:cstheme="minorHAnsi"/>
                <w:sz w:val="18"/>
                <w:szCs w:val="18"/>
              </w:rPr>
              <w:t>Referral to total diet replacement programme (</w:t>
            </w:r>
            <w:r w:rsidRPr="00C2385B">
              <w:rPr>
                <w:rFonts w:eastAsia="Calibri" w:cstheme="minorHAnsi"/>
                <w:b/>
                <w:bCs/>
                <w:sz w:val="18"/>
                <w:szCs w:val="18"/>
              </w:rPr>
              <w:t>1239571000000105</w:t>
            </w:r>
            <w:r w:rsidRPr="00C2385B">
              <w:rPr>
                <w:rFonts w:eastAsia="Calibri" w:cstheme="minorHAnsi"/>
                <w:sz w:val="18"/>
                <w:szCs w:val="18"/>
              </w:rPr>
              <w:t>)</w:t>
            </w:r>
          </w:p>
          <w:p w:rsidR="001A7665" w:rsidP="0063213E" w:rsidRDefault="001A7665" w14:paraId="7B7F1526" w14:textId="77777777">
            <w:pPr>
              <w:pStyle w:val="ListParagraph"/>
              <w:numPr>
                <w:ilvl w:val="0"/>
                <w:numId w:val="65"/>
              </w:numPr>
              <w:rPr>
                <w:rFonts w:eastAsia="Calibri" w:cstheme="minorHAnsi"/>
                <w:sz w:val="18"/>
                <w:szCs w:val="18"/>
              </w:rPr>
            </w:pPr>
            <w:r w:rsidRPr="00275AFB">
              <w:rPr>
                <w:rFonts w:eastAsia="Calibri" w:cstheme="minorHAnsi"/>
                <w:sz w:val="18"/>
                <w:szCs w:val="18"/>
              </w:rPr>
              <w:t>Referral to bariatric surgeon (</w:t>
            </w:r>
            <w:r w:rsidRPr="00275AFB">
              <w:rPr>
                <w:rFonts w:eastAsia="Calibri" w:cstheme="minorHAnsi"/>
                <w:b/>
                <w:bCs/>
                <w:sz w:val="18"/>
                <w:szCs w:val="18"/>
              </w:rPr>
              <w:t>698563003</w:t>
            </w:r>
            <w:r w:rsidRPr="00275AFB">
              <w:rPr>
                <w:rFonts w:eastAsia="Calibri" w:cstheme="minorHAnsi"/>
                <w:sz w:val="18"/>
                <w:szCs w:val="18"/>
              </w:rPr>
              <w:t>)</w:t>
            </w:r>
          </w:p>
          <w:p w:rsidRPr="00C2385B" w:rsidR="00E975A5" w:rsidP="0063213E" w:rsidRDefault="00E975A5" w14:paraId="37C634A2" w14:textId="46DD29BD">
            <w:pPr>
              <w:pStyle w:val="ListParagraph"/>
              <w:numPr>
                <w:ilvl w:val="0"/>
                <w:numId w:val="65"/>
              </w:numPr>
              <w:rPr>
                <w:rFonts w:eastAsia="Calibri" w:cstheme="minorHAnsi"/>
                <w:sz w:val="18"/>
                <w:szCs w:val="18"/>
              </w:rPr>
            </w:pPr>
            <w:r w:rsidRPr="00E975A5">
              <w:rPr>
                <w:rFonts w:eastAsia="Calibri" w:cstheme="minorHAnsi"/>
                <w:sz w:val="18"/>
                <w:szCs w:val="18"/>
              </w:rPr>
              <w:t>Referral for pre-bariatric surgery assessment (</w:t>
            </w:r>
            <w:r w:rsidRPr="00E975A5">
              <w:rPr>
                <w:rFonts w:eastAsia="Calibri" w:cstheme="minorHAnsi"/>
                <w:b/>
                <w:bCs/>
                <w:sz w:val="18"/>
                <w:szCs w:val="18"/>
              </w:rPr>
              <w:t>907731000000102</w:t>
            </w:r>
            <w:r w:rsidRPr="00E975A5">
              <w:rPr>
                <w:rFonts w:eastAsia="Calibri" w:cstheme="minorHAnsi"/>
                <w:sz w:val="18"/>
                <w:szCs w:val="18"/>
              </w:rPr>
              <w:t>)</w:t>
            </w:r>
          </w:p>
        </w:tc>
        <w:tc>
          <w:tcPr>
            <w:tcW w:w="1722" w:type="dxa"/>
            <w:vAlign w:val="center"/>
          </w:tcPr>
          <w:p w:rsidRPr="00593469" w:rsidR="0063213E" w:rsidP="0063213E" w:rsidRDefault="0063213E" w14:paraId="756FA798" w14:textId="77777777">
            <w:pPr>
              <w:jc w:val="center"/>
              <w:rPr>
                <w:rFonts w:eastAsia="Arial" w:cstheme="minorHAnsi"/>
                <w:sz w:val="18"/>
                <w:szCs w:val="18"/>
              </w:rPr>
            </w:pPr>
            <w:r w:rsidRPr="00593469">
              <w:rPr>
                <w:rFonts w:cstheme="minorHAnsi"/>
                <w:b/>
                <w:bCs/>
                <w:sz w:val="18"/>
                <w:szCs w:val="18"/>
              </w:rPr>
              <w:lastRenderedPageBreak/>
              <w:t>Numerator:</w:t>
            </w:r>
          </w:p>
          <w:p w:rsidRPr="00593469" w:rsidR="0063213E" w:rsidP="0063213E" w:rsidRDefault="0063213E" w14:paraId="49DE0F55" w14:textId="462C5345">
            <w:pPr>
              <w:jc w:val="center"/>
              <w:rPr>
                <w:rFonts w:cstheme="minorHAnsi"/>
                <w:b/>
                <w:bCs/>
                <w:sz w:val="18"/>
                <w:szCs w:val="18"/>
              </w:rPr>
            </w:pPr>
            <w:r>
              <w:rPr>
                <w:rFonts w:cstheme="minorHAnsi"/>
                <w:sz w:val="18"/>
                <w:szCs w:val="18"/>
              </w:rPr>
              <w:t>Number of patients with EOT2D (coded as T2DM and aged 18-39) with weight management referral</w:t>
            </w:r>
          </w:p>
        </w:tc>
        <w:tc>
          <w:tcPr>
            <w:tcW w:w="1485" w:type="dxa"/>
            <w:vAlign w:val="center"/>
          </w:tcPr>
          <w:p w:rsidRPr="00593469" w:rsidR="0063213E" w:rsidP="0063213E" w:rsidRDefault="0063213E" w14:paraId="01F1D28A" w14:textId="77777777">
            <w:pPr>
              <w:jc w:val="center"/>
              <w:rPr>
                <w:rFonts w:eastAsia="Arial" w:cstheme="minorHAnsi"/>
                <w:sz w:val="18"/>
                <w:szCs w:val="18"/>
              </w:rPr>
            </w:pPr>
            <w:r>
              <w:rPr>
                <w:rFonts w:cstheme="minorHAnsi"/>
                <w:b/>
                <w:bCs/>
                <w:sz w:val="18"/>
                <w:szCs w:val="18"/>
              </w:rPr>
              <w:t>Denominator</w:t>
            </w:r>
            <w:r w:rsidRPr="00593469">
              <w:rPr>
                <w:rFonts w:cstheme="minorHAnsi"/>
                <w:b/>
                <w:bCs/>
                <w:sz w:val="18"/>
                <w:szCs w:val="18"/>
              </w:rPr>
              <w:t>:</w:t>
            </w:r>
          </w:p>
          <w:p w:rsidRPr="00593469" w:rsidR="0063213E" w:rsidP="0063213E" w:rsidRDefault="0063213E" w14:paraId="66FEF99B" w14:textId="3526B81F">
            <w:pPr>
              <w:jc w:val="center"/>
              <w:rPr>
                <w:rFonts w:cstheme="minorHAnsi"/>
                <w:b/>
                <w:bCs/>
                <w:sz w:val="18"/>
                <w:szCs w:val="18"/>
              </w:rPr>
            </w:pPr>
            <w:r>
              <w:rPr>
                <w:rFonts w:cstheme="minorHAnsi"/>
                <w:sz w:val="18"/>
                <w:szCs w:val="18"/>
              </w:rPr>
              <w:t>Number of patients with EOT2D (coded as T2DM and aged 18-39)</w:t>
            </w:r>
          </w:p>
        </w:tc>
        <w:tc>
          <w:tcPr>
            <w:tcW w:w="1267" w:type="dxa"/>
            <w:vAlign w:val="center"/>
          </w:tcPr>
          <w:p w:rsidRPr="00593469" w:rsidR="0063213E" w:rsidP="0063213E" w:rsidRDefault="0063213E" w14:paraId="5EBAA552" w14:textId="77777777">
            <w:pPr>
              <w:pStyle w:val="TableParagraph"/>
              <w:jc w:val="center"/>
              <w:rPr>
                <w:rFonts w:eastAsia="Arial" w:cstheme="minorHAnsi"/>
                <w:sz w:val="18"/>
                <w:szCs w:val="18"/>
              </w:rPr>
            </w:pPr>
          </w:p>
        </w:tc>
        <w:tc>
          <w:tcPr>
            <w:tcW w:w="912" w:type="dxa"/>
            <w:vAlign w:val="center"/>
          </w:tcPr>
          <w:p w:rsidRPr="00593469" w:rsidR="0063213E" w:rsidP="0063213E" w:rsidRDefault="0063213E" w14:paraId="396517DA" w14:textId="77777777">
            <w:pPr>
              <w:pStyle w:val="TableParagraph"/>
              <w:jc w:val="center"/>
              <w:rPr>
                <w:rFonts w:eastAsia="Arial" w:cstheme="minorHAnsi"/>
                <w:sz w:val="18"/>
                <w:szCs w:val="18"/>
              </w:rPr>
            </w:pPr>
          </w:p>
        </w:tc>
        <w:tc>
          <w:tcPr>
            <w:tcW w:w="1159" w:type="dxa"/>
            <w:vAlign w:val="center"/>
          </w:tcPr>
          <w:p w:rsidRPr="00593469" w:rsidR="0063213E" w:rsidP="0063213E" w:rsidRDefault="0063213E" w14:paraId="7650D099" w14:textId="77777777">
            <w:pPr>
              <w:pStyle w:val="TableParagraph"/>
              <w:jc w:val="center"/>
              <w:rPr>
                <w:rFonts w:eastAsia="Arial" w:cstheme="minorHAnsi"/>
                <w:sz w:val="18"/>
                <w:szCs w:val="18"/>
              </w:rPr>
            </w:pPr>
            <w:r w:rsidRPr="0089352A">
              <w:rPr>
                <w:rFonts w:eastAsia="Arial" w:cstheme="minorHAnsi"/>
                <w:sz w:val="18"/>
                <w:szCs w:val="18"/>
              </w:rPr>
              <w:t>Monthly – via the WSIC Tier 2 Dashboard</w:t>
            </w:r>
          </w:p>
        </w:tc>
      </w:tr>
      <w:tr w:rsidRPr="00593469" w:rsidR="00005D51" w:rsidTr="007D1145" w14:paraId="468E99D2" w14:textId="77777777">
        <w:trPr>
          <w:trHeight w:val="13"/>
        </w:trPr>
        <w:tc>
          <w:tcPr>
            <w:tcW w:w="945" w:type="dxa"/>
            <w:vAlign w:val="center"/>
          </w:tcPr>
          <w:p w:rsidR="00005D51" w:rsidP="00005D51" w:rsidRDefault="00005D51" w14:paraId="65EC6043" w14:textId="7BA8B927">
            <w:pPr>
              <w:pStyle w:val="TableParagraph"/>
              <w:jc w:val="center"/>
              <w:rPr>
                <w:rFonts w:cstheme="minorHAnsi"/>
                <w:b/>
                <w:bCs/>
                <w:sz w:val="18"/>
                <w:szCs w:val="18"/>
              </w:rPr>
            </w:pPr>
            <w:r>
              <w:rPr>
                <w:rFonts w:cstheme="minorHAnsi"/>
                <w:b/>
                <w:bCs/>
                <w:sz w:val="18"/>
                <w:szCs w:val="18"/>
              </w:rPr>
              <w:t>DL207g</w:t>
            </w:r>
          </w:p>
        </w:tc>
        <w:tc>
          <w:tcPr>
            <w:tcW w:w="2673" w:type="dxa"/>
            <w:vAlign w:val="center"/>
          </w:tcPr>
          <w:p w:rsidR="00005D51" w:rsidP="00005D51" w:rsidRDefault="00005D51" w14:paraId="3835CF3B" w14:textId="581B4AB6">
            <w:pPr>
              <w:rPr>
                <w:rFonts w:cstheme="minorHAnsi"/>
                <w:sz w:val="18"/>
                <w:szCs w:val="18"/>
                <w:lang w:val="en-GB"/>
              </w:rPr>
            </w:pPr>
            <w:r>
              <w:rPr>
                <w:rFonts w:cstheme="minorHAnsi"/>
                <w:sz w:val="18"/>
                <w:szCs w:val="18"/>
                <w:lang w:val="en-GB"/>
              </w:rPr>
              <w:t xml:space="preserve">% of patients </w:t>
            </w:r>
            <w:r w:rsidR="002C0BE1">
              <w:rPr>
                <w:rFonts w:cstheme="minorHAnsi"/>
                <w:sz w:val="18"/>
                <w:szCs w:val="18"/>
                <w:lang w:val="en-GB"/>
              </w:rPr>
              <w:t xml:space="preserve">with EOT2D </w:t>
            </w:r>
            <w:r>
              <w:rPr>
                <w:rFonts w:cstheme="minorHAnsi"/>
                <w:sz w:val="18"/>
                <w:szCs w:val="18"/>
                <w:lang w:val="en-GB"/>
              </w:rPr>
              <w:t>referred to ARRS team</w:t>
            </w:r>
          </w:p>
        </w:tc>
        <w:tc>
          <w:tcPr>
            <w:tcW w:w="3909" w:type="dxa"/>
            <w:shd w:val="clear" w:color="auto" w:fill="DBE4F0"/>
            <w:vAlign w:val="center"/>
          </w:tcPr>
          <w:p w:rsidR="00005D51" w:rsidP="00005D51" w:rsidRDefault="00005D51" w14:paraId="60C8AFA6" w14:textId="77777777">
            <w:pPr>
              <w:rPr>
                <w:rFonts w:eastAsia="Calibri" w:cstheme="minorHAnsi"/>
                <w:sz w:val="18"/>
                <w:szCs w:val="18"/>
              </w:rPr>
            </w:pPr>
            <w:r>
              <w:rPr>
                <w:rFonts w:eastAsia="Calibri" w:cstheme="minorHAnsi"/>
                <w:sz w:val="18"/>
                <w:szCs w:val="18"/>
              </w:rPr>
              <w:t>Any of the following:</w:t>
            </w:r>
          </w:p>
          <w:p w:rsidR="00005D51" w:rsidP="00005D51" w:rsidRDefault="00005D51" w14:paraId="0E0756BD" w14:textId="77777777">
            <w:pPr>
              <w:pStyle w:val="ListParagraph"/>
              <w:numPr>
                <w:ilvl w:val="0"/>
                <w:numId w:val="67"/>
              </w:numPr>
              <w:rPr>
                <w:rFonts w:eastAsia="Calibri" w:cstheme="minorHAnsi"/>
                <w:sz w:val="18"/>
                <w:szCs w:val="18"/>
              </w:rPr>
            </w:pPr>
            <w:r w:rsidRPr="00266F1E">
              <w:rPr>
                <w:rFonts w:eastAsia="Calibri" w:cstheme="minorHAnsi"/>
                <w:sz w:val="18"/>
                <w:szCs w:val="18"/>
              </w:rPr>
              <w:t>Referral to social prescribing service (</w:t>
            </w:r>
            <w:r w:rsidRPr="00266F1E">
              <w:rPr>
                <w:rFonts w:eastAsia="Calibri" w:cstheme="minorHAnsi"/>
                <w:b/>
                <w:bCs/>
                <w:sz w:val="18"/>
                <w:szCs w:val="18"/>
              </w:rPr>
              <w:t>871731000000106</w:t>
            </w:r>
            <w:r w:rsidRPr="00266F1E">
              <w:rPr>
                <w:rFonts w:eastAsia="Calibri" w:cstheme="minorHAnsi"/>
                <w:sz w:val="18"/>
                <w:szCs w:val="18"/>
              </w:rPr>
              <w:t>)</w:t>
            </w:r>
          </w:p>
          <w:p w:rsidR="00005D51" w:rsidP="00005D51" w:rsidRDefault="00005D51" w14:paraId="4A97458F" w14:textId="0AA1621E">
            <w:pPr>
              <w:pStyle w:val="ListParagraph"/>
              <w:numPr>
                <w:ilvl w:val="0"/>
                <w:numId w:val="67"/>
              </w:numPr>
              <w:rPr>
                <w:rFonts w:eastAsia="Calibri" w:cstheme="minorHAnsi"/>
                <w:sz w:val="18"/>
                <w:szCs w:val="18"/>
              </w:rPr>
            </w:pPr>
            <w:r w:rsidRPr="005B5C63">
              <w:rPr>
                <w:rFonts w:eastAsia="Calibri" w:cstheme="minorHAnsi"/>
                <w:sz w:val="18"/>
                <w:szCs w:val="18"/>
              </w:rPr>
              <w:t>Referral for health coaching (</w:t>
            </w:r>
            <w:r w:rsidRPr="00D10F3B" w:rsidR="00D10F3B">
              <w:rPr>
                <w:rFonts w:eastAsia="Calibri" w:cstheme="minorHAnsi"/>
                <w:b/>
                <w:bCs/>
                <w:sz w:val="18"/>
                <w:szCs w:val="18"/>
              </w:rPr>
              <w:t>276221000000100</w:t>
            </w:r>
            <w:r w:rsidRPr="005B5C63">
              <w:rPr>
                <w:rFonts w:eastAsia="Calibri" w:cstheme="minorHAnsi"/>
                <w:sz w:val="18"/>
                <w:szCs w:val="18"/>
              </w:rPr>
              <w:t>)</w:t>
            </w:r>
          </w:p>
          <w:p w:rsidRPr="000B4787" w:rsidR="00005D51" w:rsidP="000B4787" w:rsidRDefault="00005D51" w14:paraId="035BE759" w14:textId="285461EE">
            <w:pPr>
              <w:pStyle w:val="ListParagraph"/>
              <w:numPr>
                <w:ilvl w:val="0"/>
                <w:numId w:val="67"/>
              </w:numPr>
              <w:rPr>
                <w:rFonts w:eastAsia="Calibri" w:cstheme="minorHAnsi"/>
                <w:sz w:val="18"/>
                <w:szCs w:val="18"/>
              </w:rPr>
            </w:pPr>
            <w:r w:rsidRPr="000B4787">
              <w:rPr>
                <w:rFonts w:eastAsia="Calibri" w:cstheme="minorHAnsi"/>
                <w:sz w:val="18"/>
                <w:szCs w:val="18"/>
              </w:rPr>
              <w:t>Referral to mental health link worker (</w:t>
            </w:r>
            <w:r w:rsidRPr="000B4787">
              <w:rPr>
                <w:rFonts w:eastAsia="Calibri" w:cstheme="minorHAnsi"/>
                <w:b/>
                <w:bCs/>
                <w:sz w:val="18"/>
                <w:szCs w:val="18"/>
              </w:rPr>
              <w:t>1362951000000104</w:t>
            </w:r>
            <w:r w:rsidRPr="000B4787">
              <w:rPr>
                <w:rFonts w:eastAsia="Calibri" w:cstheme="minorHAnsi"/>
                <w:sz w:val="18"/>
                <w:szCs w:val="18"/>
              </w:rPr>
              <w:t>)</w:t>
            </w:r>
          </w:p>
        </w:tc>
        <w:tc>
          <w:tcPr>
            <w:tcW w:w="1722" w:type="dxa"/>
            <w:vAlign w:val="center"/>
          </w:tcPr>
          <w:p w:rsidRPr="00593469" w:rsidR="00005D51" w:rsidP="00005D51" w:rsidRDefault="00005D51" w14:paraId="31799A14" w14:textId="77777777">
            <w:pPr>
              <w:jc w:val="center"/>
              <w:rPr>
                <w:rFonts w:eastAsia="Arial" w:cstheme="minorHAnsi"/>
                <w:sz w:val="18"/>
                <w:szCs w:val="18"/>
              </w:rPr>
            </w:pPr>
            <w:r w:rsidRPr="00593469">
              <w:rPr>
                <w:rFonts w:cstheme="minorHAnsi"/>
                <w:b/>
                <w:bCs/>
                <w:sz w:val="18"/>
                <w:szCs w:val="18"/>
              </w:rPr>
              <w:t>Numerator:</w:t>
            </w:r>
          </w:p>
          <w:p w:rsidRPr="00593469" w:rsidR="00005D51" w:rsidP="00005D51" w:rsidRDefault="00005D51" w14:paraId="77C6FDCC" w14:textId="0E3D3AB9">
            <w:pPr>
              <w:jc w:val="center"/>
              <w:rPr>
                <w:rFonts w:cstheme="minorHAnsi"/>
                <w:b/>
                <w:bCs/>
                <w:sz w:val="18"/>
                <w:szCs w:val="18"/>
              </w:rPr>
            </w:pPr>
            <w:r>
              <w:rPr>
                <w:rFonts w:cstheme="minorHAnsi"/>
                <w:sz w:val="18"/>
                <w:szCs w:val="18"/>
              </w:rPr>
              <w:t>Number of patients with EOT2D (coded as T2DM and aged 18-39) with ARRS referral</w:t>
            </w:r>
          </w:p>
        </w:tc>
        <w:tc>
          <w:tcPr>
            <w:tcW w:w="1485" w:type="dxa"/>
            <w:vAlign w:val="center"/>
          </w:tcPr>
          <w:p w:rsidRPr="00593469" w:rsidR="00005D51" w:rsidP="00005D51" w:rsidRDefault="00005D51" w14:paraId="4E8DE3FB" w14:textId="77777777">
            <w:pPr>
              <w:jc w:val="center"/>
              <w:rPr>
                <w:rFonts w:eastAsia="Arial" w:cstheme="minorHAnsi"/>
                <w:sz w:val="18"/>
                <w:szCs w:val="18"/>
              </w:rPr>
            </w:pPr>
            <w:r>
              <w:rPr>
                <w:rFonts w:cstheme="minorHAnsi"/>
                <w:b/>
                <w:bCs/>
                <w:sz w:val="18"/>
                <w:szCs w:val="18"/>
              </w:rPr>
              <w:t>Denominator</w:t>
            </w:r>
            <w:r w:rsidRPr="00593469">
              <w:rPr>
                <w:rFonts w:cstheme="minorHAnsi"/>
                <w:b/>
                <w:bCs/>
                <w:sz w:val="18"/>
                <w:szCs w:val="18"/>
              </w:rPr>
              <w:t>:</w:t>
            </w:r>
          </w:p>
          <w:p w:rsidR="00005D51" w:rsidP="00005D51" w:rsidRDefault="00005D51" w14:paraId="28036B5B" w14:textId="346FF66A">
            <w:pPr>
              <w:jc w:val="center"/>
              <w:rPr>
                <w:rFonts w:cstheme="minorHAnsi"/>
                <w:b/>
                <w:bCs/>
                <w:sz w:val="18"/>
                <w:szCs w:val="18"/>
              </w:rPr>
            </w:pPr>
            <w:r>
              <w:rPr>
                <w:rFonts w:cstheme="minorHAnsi"/>
                <w:sz w:val="18"/>
                <w:szCs w:val="18"/>
              </w:rPr>
              <w:t>Number of patients with EOT2D (coded as T2DM and aged 18-39)</w:t>
            </w:r>
          </w:p>
        </w:tc>
        <w:tc>
          <w:tcPr>
            <w:tcW w:w="1267" w:type="dxa"/>
            <w:vAlign w:val="center"/>
          </w:tcPr>
          <w:p w:rsidRPr="00593469" w:rsidR="00005D51" w:rsidP="00005D51" w:rsidRDefault="00005D51" w14:paraId="263A396F" w14:textId="77777777">
            <w:pPr>
              <w:pStyle w:val="TableParagraph"/>
              <w:jc w:val="center"/>
              <w:rPr>
                <w:rFonts w:eastAsia="Arial" w:cstheme="minorHAnsi"/>
                <w:sz w:val="18"/>
                <w:szCs w:val="18"/>
              </w:rPr>
            </w:pPr>
          </w:p>
        </w:tc>
        <w:tc>
          <w:tcPr>
            <w:tcW w:w="912" w:type="dxa"/>
            <w:vAlign w:val="center"/>
          </w:tcPr>
          <w:p w:rsidRPr="00593469" w:rsidR="00005D51" w:rsidP="00005D51" w:rsidRDefault="00005D51" w14:paraId="22BA13B8" w14:textId="77777777">
            <w:pPr>
              <w:pStyle w:val="TableParagraph"/>
              <w:jc w:val="center"/>
              <w:rPr>
                <w:rFonts w:eastAsia="Arial" w:cstheme="minorHAnsi"/>
                <w:sz w:val="18"/>
                <w:szCs w:val="18"/>
              </w:rPr>
            </w:pPr>
          </w:p>
        </w:tc>
        <w:tc>
          <w:tcPr>
            <w:tcW w:w="1159" w:type="dxa"/>
            <w:vAlign w:val="center"/>
          </w:tcPr>
          <w:p w:rsidRPr="00593469" w:rsidR="00005D51" w:rsidP="00005D51" w:rsidRDefault="00005D51" w14:paraId="57933CC1" w14:textId="77777777">
            <w:pPr>
              <w:pStyle w:val="TableParagraph"/>
              <w:jc w:val="center"/>
              <w:rPr>
                <w:rFonts w:eastAsia="Arial" w:cstheme="minorHAnsi"/>
                <w:sz w:val="18"/>
                <w:szCs w:val="18"/>
              </w:rPr>
            </w:pPr>
          </w:p>
        </w:tc>
      </w:tr>
      <w:tr w:rsidRPr="00593469" w:rsidR="00005D51" w:rsidTr="007D1145" w14:paraId="6E0AEE31" w14:textId="77777777">
        <w:trPr>
          <w:trHeight w:val="13"/>
        </w:trPr>
        <w:tc>
          <w:tcPr>
            <w:tcW w:w="945" w:type="dxa"/>
            <w:vAlign w:val="center"/>
          </w:tcPr>
          <w:p w:rsidRPr="00593469" w:rsidR="00005D51" w:rsidP="00005D51" w:rsidRDefault="00005D51" w14:paraId="07C8E378" w14:textId="6B70CE80">
            <w:pPr>
              <w:pStyle w:val="TableParagraph"/>
              <w:jc w:val="center"/>
              <w:rPr>
                <w:rFonts w:cstheme="minorHAnsi"/>
                <w:b/>
                <w:bCs/>
                <w:sz w:val="18"/>
                <w:szCs w:val="18"/>
              </w:rPr>
            </w:pPr>
            <w:r>
              <w:rPr>
                <w:rFonts w:cstheme="minorHAnsi"/>
                <w:b/>
                <w:bCs/>
                <w:sz w:val="18"/>
                <w:szCs w:val="18"/>
              </w:rPr>
              <w:t>DL207h</w:t>
            </w:r>
          </w:p>
        </w:tc>
        <w:tc>
          <w:tcPr>
            <w:tcW w:w="2673" w:type="dxa"/>
            <w:vAlign w:val="center"/>
          </w:tcPr>
          <w:p w:rsidRPr="00593469" w:rsidR="00005D51" w:rsidP="00005D51" w:rsidRDefault="00005D51" w14:paraId="40CB1A02" w14:textId="6CC6BAAE">
            <w:pPr>
              <w:rPr>
                <w:rFonts w:cstheme="minorHAnsi"/>
                <w:sz w:val="18"/>
                <w:szCs w:val="18"/>
                <w:lang w:val="en-GB"/>
              </w:rPr>
            </w:pPr>
            <w:r>
              <w:rPr>
                <w:rFonts w:cstheme="minorHAnsi"/>
                <w:sz w:val="18"/>
                <w:szCs w:val="18"/>
                <w:lang w:val="en-GB"/>
              </w:rPr>
              <w:t xml:space="preserve">% of female patients </w:t>
            </w:r>
            <w:r w:rsidR="002C0BE1">
              <w:rPr>
                <w:rFonts w:cstheme="minorHAnsi"/>
                <w:sz w:val="18"/>
                <w:szCs w:val="18"/>
                <w:lang w:val="en-GB"/>
              </w:rPr>
              <w:t xml:space="preserve">with EOT2D </w:t>
            </w:r>
            <w:r>
              <w:rPr>
                <w:rFonts w:cstheme="minorHAnsi"/>
                <w:sz w:val="18"/>
                <w:szCs w:val="18"/>
                <w:lang w:val="en-GB"/>
              </w:rPr>
              <w:t xml:space="preserve">with record of preconception advice  </w:t>
            </w:r>
          </w:p>
        </w:tc>
        <w:tc>
          <w:tcPr>
            <w:tcW w:w="3909" w:type="dxa"/>
            <w:shd w:val="clear" w:color="auto" w:fill="DBE4F0"/>
            <w:vAlign w:val="center"/>
          </w:tcPr>
          <w:p w:rsidR="00005D51" w:rsidP="00005D51" w:rsidRDefault="00005D51" w14:paraId="4AB18708" w14:textId="22DDF062">
            <w:pPr>
              <w:rPr>
                <w:rFonts w:eastAsia="Calibri" w:cstheme="minorHAnsi"/>
                <w:sz w:val="18"/>
                <w:szCs w:val="18"/>
              </w:rPr>
            </w:pPr>
            <w:r w:rsidRPr="0024383A">
              <w:rPr>
                <w:rFonts w:eastAsia="Calibri" w:cstheme="minorHAnsi"/>
                <w:sz w:val="18"/>
                <w:szCs w:val="18"/>
              </w:rPr>
              <w:t>Pre</w:t>
            </w:r>
            <w:r w:rsidR="0099126D">
              <w:rPr>
                <w:rFonts w:eastAsia="Calibri" w:cstheme="minorHAnsi"/>
                <w:sz w:val="18"/>
                <w:szCs w:val="18"/>
              </w:rPr>
              <w:t>-</w:t>
            </w:r>
            <w:r w:rsidRPr="0024383A">
              <w:rPr>
                <w:rFonts w:eastAsia="Calibri" w:cstheme="minorHAnsi"/>
                <w:sz w:val="18"/>
                <w:szCs w:val="18"/>
              </w:rPr>
              <w:t xml:space="preserve">conception </w:t>
            </w:r>
            <w:r w:rsidR="00DD4320">
              <w:rPr>
                <w:rFonts w:eastAsia="Calibri" w:cstheme="minorHAnsi"/>
                <w:sz w:val="18"/>
                <w:szCs w:val="18"/>
              </w:rPr>
              <w:t>advice</w:t>
            </w:r>
            <w:r w:rsidRPr="0024383A">
              <w:rPr>
                <w:rFonts w:eastAsia="Calibri" w:cstheme="minorHAnsi"/>
                <w:sz w:val="18"/>
                <w:szCs w:val="18"/>
              </w:rPr>
              <w:t xml:space="preserve"> (</w:t>
            </w:r>
            <w:r w:rsidRPr="00DD4320" w:rsidR="00DD4320">
              <w:rPr>
                <w:rFonts w:eastAsia="Calibri" w:cstheme="minorHAnsi"/>
                <w:b/>
                <w:bCs/>
                <w:sz w:val="18"/>
                <w:szCs w:val="18"/>
              </w:rPr>
              <w:t>171012002</w:t>
            </w:r>
            <w:r w:rsidRPr="0024383A">
              <w:rPr>
                <w:rFonts w:eastAsia="Calibri" w:cstheme="minorHAnsi"/>
                <w:sz w:val="18"/>
                <w:szCs w:val="18"/>
              </w:rPr>
              <w:t>)</w:t>
            </w:r>
          </w:p>
        </w:tc>
        <w:tc>
          <w:tcPr>
            <w:tcW w:w="1722" w:type="dxa"/>
            <w:vAlign w:val="center"/>
          </w:tcPr>
          <w:p w:rsidRPr="00593469" w:rsidR="00005D51" w:rsidP="00005D51" w:rsidRDefault="00005D51" w14:paraId="5C07A525" w14:textId="77777777">
            <w:pPr>
              <w:jc w:val="center"/>
              <w:rPr>
                <w:rFonts w:eastAsia="Arial" w:cstheme="minorHAnsi"/>
                <w:sz w:val="18"/>
                <w:szCs w:val="18"/>
              </w:rPr>
            </w:pPr>
            <w:r w:rsidRPr="00593469">
              <w:rPr>
                <w:rFonts w:cstheme="minorHAnsi"/>
                <w:b/>
                <w:bCs/>
                <w:sz w:val="18"/>
                <w:szCs w:val="18"/>
              </w:rPr>
              <w:t>Numerator:</w:t>
            </w:r>
          </w:p>
          <w:p w:rsidRPr="00952F49" w:rsidR="00005D51" w:rsidP="00005D51" w:rsidRDefault="00005D51" w14:paraId="1796229D" w14:textId="7D5208BC">
            <w:pPr>
              <w:jc w:val="center"/>
              <w:rPr>
                <w:rFonts w:cstheme="minorHAnsi"/>
                <w:sz w:val="18"/>
                <w:szCs w:val="18"/>
              </w:rPr>
            </w:pPr>
            <w:r>
              <w:rPr>
                <w:rFonts w:cstheme="minorHAnsi"/>
                <w:sz w:val="18"/>
                <w:szCs w:val="18"/>
              </w:rPr>
              <w:t xml:space="preserve">Number of </w:t>
            </w:r>
            <w:r w:rsidR="00BF0D59">
              <w:rPr>
                <w:rFonts w:cstheme="minorHAnsi"/>
                <w:sz w:val="18"/>
                <w:szCs w:val="18"/>
              </w:rPr>
              <w:t xml:space="preserve">female </w:t>
            </w:r>
            <w:r>
              <w:rPr>
                <w:rFonts w:cstheme="minorHAnsi"/>
                <w:sz w:val="18"/>
                <w:szCs w:val="18"/>
              </w:rPr>
              <w:t>patients with EOT2D (coded as T2DM and aged 18-39) with preconception counseling code</w:t>
            </w:r>
          </w:p>
        </w:tc>
        <w:tc>
          <w:tcPr>
            <w:tcW w:w="1485" w:type="dxa"/>
            <w:vAlign w:val="center"/>
          </w:tcPr>
          <w:p w:rsidRPr="00593469" w:rsidR="00005D51" w:rsidP="00005D51" w:rsidRDefault="00005D51" w14:paraId="071E34DE" w14:textId="6E72133C">
            <w:pPr>
              <w:jc w:val="center"/>
              <w:rPr>
                <w:rFonts w:eastAsia="Arial" w:cstheme="minorHAnsi"/>
                <w:sz w:val="18"/>
                <w:szCs w:val="18"/>
              </w:rPr>
            </w:pPr>
            <w:r>
              <w:rPr>
                <w:rFonts w:cstheme="minorHAnsi"/>
                <w:b/>
                <w:bCs/>
                <w:sz w:val="18"/>
                <w:szCs w:val="18"/>
              </w:rPr>
              <w:t>Denominator</w:t>
            </w:r>
            <w:r w:rsidRPr="00593469">
              <w:rPr>
                <w:rFonts w:cstheme="minorHAnsi"/>
                <w:b/>
                <w:bCs/>
                <w:sz w:val="18"/>
                <w:szCs w:val="18"/>
              </w:rPr>
              <w:t>:</w:t>
            </w:r>
          </w:p>
          <w:p w:rsidRPr="00593469" w:rsidR="00005D51" w:rsidP="00005D51" w:rsidRDefault="00005D51" w14:paraId="75BA994E" w14:textId="1ADF2318">
            <w:pPr>
              <w:jc w:val="center"/>
              <w:rPr>
                <w:rFonts w:cstheme="minorHAnsi"/>
                <w:b/>
                <w:bCs/>
                <w:sz w:val="18"/>
                <w:szCs w:val="18"/>
              </w:rPr>
            </w:pPr>
            <w:r>
              <w:rPr>
                <w:rFonts w:cstheme="minorHAnsi"/>
                <w:sz w:val="18"/>
                <w:szCs w:val="18"/>
              </w:rPr>
              <w:t xml:space="preserve">Number of </w:t>
            </w:r>
            <w:r w:rsidR="00BF0D59">
              <w:rPr>
                <w:rFonts w:cstheme="minorHAnsi"/>
                <w:sz w:val="18"/>
                <w:szCs w:val="18"/>
              </w:rPr>
              <w:t xml:space="preserve">female </w:t>
            </w:r>
            <w:r>
              <w:rPr>
                <w:rFonts w:cstheme="minorHAnsi"/>
                <w:sz w:val="18"/>
                <w:szCs w:val="18"/>
              </w:rPr>
              <w:t>patients with EOT2D (coded as T2DM and aged 18-39)</w:t>
            </w:r>
          </w:p>
        </w:tc>
        <w:tc>
          <w:tcPr>
            <w:tcW w:w="1267" w:type="dxa"/>
            <w:vAlign w:val="center"/>
          </w:tcPr>
          <w:p w:rsidRPr="00593469" w:rsidR="00005D51" w:rsidP="00005D51" w:rsidRDefault="00005D51" w14:paraId="12982EFD" w14:textId="77777777">
            <w:pPr>
              <w:pStyle w:val="TableParagraph"/>
              <w:jc w:val="center"/>
              <w:rPr>
                <w:rFonts w:eastAsia="Arial" w:cstheme="minorHAnsi"/>
                <w:sz w:val="18"/>
                <w:szCs w:val="18"/>
              </w:rPr>
            </w:pPr>
          </w:p>
        </w:tc>
        <w:tc>
          <w:tcPr>
            <w:tcW w:w="912" w:type="dxa"/>
            <w:vAlign w:val="center"/>
          </w:tcPr>
          <w:p w:rsidRPr="00593469" w:rsidR="00005D51" w:rsidP="00005D51" w:rsidRDefault="00005D51" w14:paraId="734F57E1" w14:textId="77777777">
            <w:pPr>
              <w:pStyle w:val="TableParagraph"/>
              <w:jc w:val="center"/>
              <w:rPr>
                <w:rFonts w:eastAsia="Arial" w:cstheme="minorHAnsi"/>
                <w:sz w:val="18"/>
                <w:szCs w:val="18"/>
              </w:rPr>
            </w:pPr>
          </w:p>
        </w:tc>
        <w:tc>
          <w:tcPr>
            <w:tcW w:w="1159" w:type="dxa"/>
            <w:vAlign w:val="center"/>
          </w:tcPr>
          <w:p w:rsidRPr="00593469" w:rsidR="00005D51" w:rsidP="00005D51" w:rsidRDefault="00005D51" w14:paraId="45EB46E1" w14:textId="77777777">
            <w:pPr>
              <w:pStyle w:val="TableParagraph"/>
              <w:jc w:val="center"/>
              <w:rPr>
                <w:rFonts w:eastAsia="Arial" w:cstheme="minorHAnsi"/>
                <w:sz w:val="18"/>
                <w:szCs w:val="18"/>
              </w:rPr>
            </w:pPr>
          </w:p>
        </w:tc>
      </w:tr>
      <w:tr w:rsidRPr="00593469" w:rsidR="00BF0D59" w:rsidTr="007D1145" w14:paraId="3753914E" w14:textId="77777777">
        <w:trPr>
          <w:trHeight w:val="13"/>
        </w:trPr>
        <w:tc>
          <w:tcPr>
            <w:tcW w:w="945" w:type="dxa"/>
            <w:vAlign w:val="center"/>
          </w:tcPr>
          <w:p w:rsidRPr="00593469" w:rsidR="00BF0D59" w:rsidP="00BF0D59" w:rsidRDefault="00BF0D59" w14:paraId="3460C071" w14:textId="784DBD68">
            <w:pPr>
              <w:pStyle w:val="TableParagraph"/>
              <w:jc w:val="center"/>
              <w:rPr>
                <w:rFonts w:cstheme="minorHAnsi"/>
                <w:b/>
                <w:bCs/>
                <w:sz w:val="18"/>
                <w:szCs w:val="18"/>
              </w:rPr>
            </w:pPr>
            <w:r>
              <w:rPr>
                <w:rFonts w:cstheme="minorHAnsi"/>
                <w:b/>
                <w:bCs/>
                <w:sz w:val="18"/>
                <w:szCs w:val="18"/>
              </w:rPr>
              <w:t>DL208i</w:t>
            </w:r>
          </w:p>
        </w:tc>
        <w:tc>
          <w:tcPr>
            <w:tcW w:w="2673" w:type="dxa"/>
            <w:vAlign w:val="center"/>
          </w:tcPr>
          <w:p w:rsidRPr="00593469" w:rsidR="00BF0D59" w:rsidP="00BF0D59" w:rsidRDefault="00BF0D59" w14:paraId="7EC38597" w14:textId="56F996B3">
            <w:pPr>
              <w:rPr>
                <w:rFonts w:cstheme="minorHAnsi"/>
                <w:sz w:val="18"/>
                <w:szCs w:val="18"/>
                <w:lang w:val="en-GB"/>
              </w:rPr>
            </w:pPr>
            <w:r>
              <w:rPr>
                <w:rFonts w:cstheme="minorHAnsi"/>
                <w:sz w:val="18"/>
                <w:szCs w:val="18"/>
                <w:lang w:val="en-GB"/>
              </w:rPr>
              <w:t xml:space="preserve">% of female patients with EOT2D with record of folic acid prescription  </w:t>
            </w:r>
          </w:p>
        </w:tc>
        <w:tc>
          <w:tcPr>
            <w:tcW w:w="3909" w:type="dxa"/>
            <w:shd w:val="clear" w:color="auto" w:fill="DBE4F0"/>
            <w:vAlign w:val="center"/>
          </w:tcPr>
          <w:p w:rsidR="00BF0D59" w:rsidP="00BF0D59" w:rsidRDefault="00BF0D59" w14:paraId="2DE8EA31" w14:textId="4E4BFCAB">
            <w:pPr>
              <w:rPr>
                <w:rFonts w:eastAsia="Calibri" w:cstheme="minorHAnsi"/>
                <w:sz w:val="18"/>
                <w:szCs w:val="18"/>
              </w:rPr>
            </w:pPr>
            <w:r>
              <w:rPr>
                <w:rFonts w:eastAsia="Calibri" w:cstheme="minorHAnsi"/>
                <w:sz w:val="18"/>
                <w:szCs w:val="18"/>
              </w:rPr>
              <w:t>Folic acid prescribed in last 6m</w:t>
            </w:r>
          </w:p>
        </w:tc>
        <w:tc>
          <w:tcPr>
            <w:tcW w:w="1722" w:type="dxa"/>
            <w:vAlign w:val="center"/>
          </w:tcPr>
          <w:p w:rsidRPr="00593469" w:rsidR="00BF0D59" w:rsidP="00BF0D59" w:rsidRDefault="00BF0D59" w14:paraId="42AA5109" w14:textId="77777777">
            <w:pPr>
              <w:jc w:val="center"/>
              <w:rPr>
                <w:rFonts w:eastAsia="Arial" w:cstheme="minorHAnsi"/>
                <w:sz w:val="18"/>
                <w:szCs w:val="18"/>
              </w:rPr>
            </w:pPr>
            <w:r w:rsidRPr="00593469">
              <w:rPr>
                <w:rFonts w:cstheme="minorHAnsi"/>
                <w:b/>
                <w:bCs/>
                <w:sz w:val="18"/>
                <w:szCs w:val="18"/>
              </w:rPr>
              <w:t>Numerator:</w:t>
            </w:r>
          </w:p>
          <w:p w:rsidRPr="00593469" w:rsidR="00BF0D59" w:rsidP="00BF0D59" w:rsidRDefault="00BF0D59" w14:paraId="5B6D28D9" w14:textId="4CF2BF5D">
            <w:pPr>
              <w:jc w:val="center"/>
              <w:rPr>
                <w:rFonts w:cstheme="minorHAnsi"/>
                <w:b/>
                <w:bCs/>
                <w:sz w:val="18"/>
                <w:szCs w:val="18"/>
              </w:rPr>
            </w:pPr>
            <w:r>
              <w:rPr>
                <w:rFonts w:cstheme="minorHAnsi"/>
                <w:sz w:val="18"/>
                <w:szCs w:val="18"/>
              </w:rPr>
              <w:t>Number of female patients with EOT2D (coded as T2DM and aged 18-39) with folic acid prescription in last 6m</w:t>
            </w:r>
          </w:p>
        </w:tc>
        <w:tc>
          <w:tcPr>
            <w:tcW w:w="1485" w:type="dxa"/>
            <w:vAlign w:val="center"/>
          </w:tcPr>
          <w:p w:rsidRPr="00593469" w:rsidR="00BF0D59" w:rsidP="00BF0D59" w:rsidRDefault="00BF0D59" w14:paraId="102C9A05" w14:textId="77777777">
            <w:pPr>
              <w:jc w:val="center"/>
              <w:rPr>
                <w:rFonts w:eastAsia="Arial" w:cstheme="minorHAnsi"/>
                <w:sz w:val="18"/>
                <w:szCs w:val="18"/>
              </w:rPr>
            </w:pPr>
            <w:r>
              <w:rPr>
                <w:rFonts w:cstheme="minorHAnsi"/>
                <w:b/>
                <w:bCs/>
                <w:sz w:val="18"/>
                <w:szCs w:val="18"/>
              </w:rPr>
              <w:t>Denominator</w:t>
            </w:r>
            <w:r w:rsidRPr="00593469">
              <w:rPr>
                <w:rFonts w:cstheme="minorHAnsi"/>
                <w:b/>
                <w:bCs/>
                <w:sz w:val="18"/>
                <w:szCs w:val="18"/>
              </w:rPr>
              <w:t>:</w:t>
            </w:r>
          </w:p>
          <w:p w:rsidRPr="00593469" w:rsidR="00BF0D59" w:rsidP="00BF0D59" w:rsidRDefault="00BF0D59" w14:paraId="05C4FEE0" w14:textId="1FBBB14D">
            <w:pPr>
              <w:jc w:val="center"/>
              <w:rPr>
                <w:rFonts w:cstheme="minorHAnsi"/>
                <w:b/>
                <w:bCs/>
                <w:sz w:val="18"/>
                <w:szCs w:val="18"/>
              </w:rPr>
            </w:pPr>
            <w:r>
              <w:rPr>
                <w:rFonts w:cstheme="minorHAnsi"/>
                <w:sz w:val="18"/>
                <w:szCs w:val="18"/>
              </w:rPr>
              <w:t>Number of female patients with EOT2D (coded as T2DM and aged 18-39)</w:t>
            </w:r>
          </w:p>
        </w:tc>
        <w:tc>
          <w:tcPr>
            <w:tcW w:w="1267" w:type="dxa"/>
            <w:vAlign w:val="center"/>
          </w:tcPr>
          <w:p w:rsidRPr="00593469" w:rsidR="00BF0D59" w:rsidP="00BF0D59" w:rsidRDefault="00BF0D59" w14:paraId="71729C62" w14:textId="77777777">
            <w:pPr>
              <w:pStyle w:val="TableParagraph"/>
              <w:jc w:val="center"/>
              <w:rPr>
                <w:rFonts w:eastAsia="Arial" w:cstheme="minorHAnsi"/>
                <w:sz w:val="18"/>
                <w:szCs w:val="18"/>
              </w:rPr>
            </w:pPr>
          </w:p>
        </w:tc>
        <w:tc>
          <w:tcPr>
            <w:tcW w:w="912" w:type="dxa"/>
            <w:vAlign w:val="center"/>
          </w:tcPr>
          <w:p w:rsidRPr="00593469" w:rsidR="00BF0D59" w:rsidP="00BF0D59" w:rsidRDefault="00BF0D59" w14:paraId="54E6409B" w14:textId="77777777">
            <w:pPr>
              <w:pStyle w:val="TableParagraph"/>
              <w:jc w:val="center"/>
              <w:rPr>
                <w:rFonts w:eastAsia="Arial" w:cstheme="minorHAnsi"/>
                <w:sz w:val="18"/>
                <w:szCs w:val="18"/>
              </w:rPr>
            </w:pPr>
          </w:p>
        </w:tc>
        <w:tc>
          <w:tcPr>
            <w:tcW w:w="1159" w:type="dxa"/>
            <w:vAlign w:val="center"/>
          </w:tcPr>
          <w:p w:rsidRPr="00593469" w:rsidR="00BF0D59" w:rsidP="00BF0D59" w:rsidRDefault="00BF0D59" w14:paraId="20494E75" w14:textId="77777777">
            <w:pPr>
              <w:pStyle w:val="TableParagraph"/>
              <w:jc w:val="center"/>
              <w:rPr>
                <w:rFonts w:eastAsia="Arial" w:cstheme="minorHAnsi"/>
                <w:sz w:val="18"/>
                <w:szCs w:val="18"/>
              </w:rPr>
            </w:pPr>
          </w:p>
        </w:tc>
      </w:tr>
      <w:tr w:rsidRPr="00593469" w:rsidR="00BF0D59" w:rsidTr="007D1145" w14:paraId="3634CFA0" w14:textId="77777777">
        <w:trPr>
          <w:trHeight w:val="13"/>
        </w:trPr>
        <w:tc>
          <w:tcPr>
            <w:tcW w:w="945" w:type="dxa"/>
            <w:vAlign w:val="center"/>
          </w:tcPr>
          <w:p w:rsidRPr="00593469" w:rsidR="00BF0D59" w:rsidP="00BF0D59" w:rsidRDefault="00BF0D59" w14:paraId="1BFA3D06" w14:textId="77777777">
            <w:pPr>
              <w:pStyle w:val="TableParagraph"/>
              <w:jc w:val="center"/>
              <w:rPr>
                <w:rFonts w:cstheme="minorHAnsi"/>
                <w:b/>
                <w:bCs/>
                <w:sz w:val="18"/>
                <w:szCs w:val="18"/>
              </w:rPr>
            </w:pPr>
          </w:p>
        </w:tc>
        <w:tc>
          <w:tcPr>
            <w:tcW w:w="2673" w:type="dxa"/>
            <w:vAlign w:val="center"/>
          </w:tcPr>
          <w:p w:rsidRPr="00593469" w:rsidR="00BF0D59" w:rsidP="00BF0D59" w:rsidRDefault="00BF0D59" w14:paraId="6A03C0EE" w14:textId="77777777">
            <w:pPr>
              <w:rPr>
                <w:rFonts w:cstheme="minorHAnsi"/>
                <w:sz w:val="18"/>
                <w:szCs w:val="18"/>
                <w:lang w:val="en-GB"/>
              </w:rPr>
            </w:pPr>
          </w:p>
        </w:tc>
        <w:tc>
          <w:tcPr>
            <w:tcW w:w="3909" w:type="dxa"/>
            <w:shd w:val="clear" w:color="auto" w:fill="DBE4F0"/>
            <w:vAlign w:val="center"/>
          </w:tcPr>
          <w:p w:rsidR="00BF0D59" w:rsidP="00BF0D59" w:rsidRDefault="00BF0D59" w14:paraId="2D0D5BAE" w14:textId="77777777">
            <w:pPr>
              <w:rPr>
                <w:rFonts w:eastAsia="Calibri" w:cstheme="minorHAnsi"/>
                <w:sz w:val="18"/>
                <w:szCs w:val="18"/>
              </w:rPr>
            </w:pPr>
          </w:p>
        </w:tc>
        <w:tc>
          <w:tcPr>
            <w:tcW w:w="1722" w:type="dxa"/>
            <w:vAlign w:val="center"/>
          </w:tcPr>
          <w:p w:rsidRPr="00593469" w:rsidR="00BF0D59" w:rsidP="00BF0D59" w:rsidRDefault="00BF0D59" w14:paraId="7482E74B" w14:textId="77777777">
            <w:pPr>
              <w:jc w:val="center"/>
              <w:rPr>
                <w:rFonts w:cstheme="minorHAnsi"/>
                <w:b/>
                <w:bCs/>
                <w:sz w:val="18"/>
                <w:szCs w:val="18"/>
              </w:rPr>
            </w:pPr>
          </w:p>
        </w:tc>
        <w:tc>
          <w:tcPr>
            <w:tcW w:w="1485" w:type="dxa"/>
            <w:vAlign w:val="center"/>
          </w:tcPr>
          <w:p w:rsidRPr="00593469" w:rsidR="00BF0D59" w:rsidP="00BF0D59" w:rsidRDefault="00BF0D59" w14:paraId="5CF01437" w14:textId="77777777">
            <w:pPr>
              <w:jc w:val="center"/>
              <w:rPr>
                <w:rFonts w:cstheme="minorHAnsi"/>
                <w:b/>
                <w:bCs/>
                <w:sz w:val="18"/>
                <w:szCs w:val="18"/>
              </w:rPr>
            </w:pPr>
          </w:p>
        </w:tc>
        <w:tc>
          <w:tcPr>
            <w:tcW w:w="1267" w:type="dxa"/>
            <w:vAlign w:val="center"/>
          </w:tcPr>
          <w:p w:rsidRPr="00593469" w:rsidR="00BF0D59" w:rsidP="00BF0D59" w:rsidRDefault="00BF0D59" w14:paraId="01447872" w14:textId="77777777">
            <w:pPr>
              <w:pStyle w:val="TableParagraph"/>
              <w:jc w:val="center"/>
              <w:rPr>
                <w:rFonts w:eastAsia="Arial" w:cstheme="minorHAnsi"/>
                <w:sz w:val="18"/>
                <w:szCs w:val="18"/>
              </w:rPr>
            </w:pPr>
          </w:p>
        </w:tc>
        <w:tc>
          <w:tcPr>
            <w:tcW w:w="912" w:type="dxa"/>
            <w:vAlign w:val="center"/>
          </w:tcPr>
          <w:p w:rsidRPr="00593469" w:rsidR="00BF0D59" w:rsidP="00BF0D59" w:rsidRDefault="00BF0D59" w14:paraId="3ACD678F" w14:textId="77777777">
            <w:pPr>
              <w:pStyle w:val="TableParagraph"/>
              <w:jc w:val="center"/>
              <w:rPr>
                <w:rFonts w:eastAsia="Arial" w:cstheme="minorHAnsi"/>
                <w:sz w:val="18"/>
                <w:szCs w:val="18"/>
              </w:rPr>
            </w:pPr>
          </w:p>
        </w:tc>
        <w:tc>
          <w:tcPr>
            <w:tcW w:w="1159" w:type="dxa"/>
            <w:vAlign w:val="center"/>
          </w:tcPr>
          <w:p w:rsidRPr="00593469" w:rsidR="00BF0D59" w:rsidP="00BF0D59" w:rsidRDefault="00BF0D59" w14:paraId="750AB0FD" w14:textId="77777777">
            <w:pPr>
              <w:pStyle w:val="TableParagraph"/>
              <w:jc w:val="center"/>
              <w:rPr>
                <w:rFonts w:eastAsia="Arial" w:cstheme="minorHAnsi"/>
                <w:sz w:val="18"/>
                <w:szCs w:val="18"/>
              </w:rPr>
            </w:pPr>
          </w:p>
        </w:tc>
      </w:tr>
    </w:tbl>
    <w:p w:rsidRPr="002E56DF" w:rsidR="00243101" w:rsidP="00243101" w:rsidRDefault="00243101" w14:paraId="230DEE64" w14:textId="77777777">
      <w:pPr>
        <w:widowControl/>
        <w:ind w:right="-637"/>
        <w:rPr>
          <w:rFonts w:cstheme="minorHAnsi"/>
          <w:sz w:val="20"/>
          <w:szCs w:val="20"/>
          <w:u w:val="single"/>
        </w:rPr>
      </w:pPr>
    </w:p>
    <w:p w:rsidR="005540C4" w:rsidP="00243101" w:rsidRDefault="005540C4" w14:paraId="2C3390AF" w14:textId="660973DB">
      <w:pPr>
        <w:widowControl/>
        <w:spacing w:after="160" w:line="259" w:lineRule="auto"/>
        <w:rPr>
          <w:b/>
          <w:color w:val="FFFFFF"/>
          <w:spacing w:val="-1"/>
        </w:rPr>
      </w:pPr>
      <w:r>
        <w:rPr>
          <w:b/>
          <w:color w:val="FFFFFF"/>
          <w:spacing w:val="-1"/>
        </w:rPr>
        <w:br w:type="page"/>
      </w:r>
    </w:p>
    <w:p w:rsidRPr="00A02D5C" w:rsidR="00FF3CAE" w:rsidP="00523129" w:rsidRDefault="00A37778" w14:paraId="714754B8" w14:textId="50557DA4">
      <w:pPr>
        <w:rPr>
          <w:b w:val="1"/>
          <w:bCs w:val="1"/>
        </w:rPr>
      </w:pPr>
      <w:r w:rsidRPr="0BC45666" w:rsidR="00A37778">
        <w:rPr>
          <w:b w:val="1"/>
          <w:bCs w:val="1"/>
        </w:rPr>
        <w:t>APPENDIX</w:t>
      </w:r>
      <w:r w:rsidRPr="0BC45666" w:rsidR="19C5DDEB">
        <w:rPr>
          <w:b w:val="1"/>
          <w:bCs w:val="1"/>
        </w:rPr>
        <w:t xml:space="preserve"> IV</w:t>
      </w:r>
      <w:r w:rsidRPr="0BC45666" w:rsidR="00A37778">
        <w:rPr>
          <w:b w:val="1"/>
          <w:bCs w:val="1"/>
        </w:rPr>
        <w:t>:</w:t>
      </w:r>
      <w:r w:rsidRPr="0BC45666" w:rsidR="00A37778">
        <w:rPr>
          <w:b w:val="1"/>
          <w:bCs w:val="1"/>
        </w:rPr>
        <w:t xml:space="preserve"> </w:t>
      </w:r>
      <w:r w:rsidRPr="0BC45666" w:rsidR="00FF3CAE">
        <w:rPr>
          <w:b w:val="1"/>
          <w:bCs w:val="1"/>
        </w:rPr>
        <w:t>T2Day: Type 2 Diabetes in the Young –Supporting Information for Reviews</w:t>
      </w:r>
    </w:p>
    <w:p w:rsidR="00FF3CAE" w:rsidP="00523129" w:rsidRDefault="00FF3CAE" w14:paraId="0D39D8D2" w14:textId="77777777"/>
    <w:p w:rsidR="00523129" w:rsidP="00523129" w:rsidRDefault="00523129" w14:paraId="73F304C8" w14:textId="26FB2EA9">
      <w:r>
        <w:t>Early onset Type 2 diabetes (EOT2D) is defined as the development of Type 2 diabetes below the age of 40 years. It is more common in people from ethnic minorities (particularity in people with South Asian ethnicity) and people living in the most socio-economically deprived areas. A high proportion of people with EOT2D are living with obesity and may also have concurrent unmet psychological and social needs.</w:t>
      </w:r>
    </w:p>
    <w:p w:rsidR="00523129" w:rsidP="00523129" w:rsidRDefault="00523129" w14:paraId="4D0B5149" w14:textId="2E82706F">
      <w:r>
        <w:t>The National Diabetes Audit (NDA) shows that prevalence is increasing yearly, with 137,260 people with Type 2 diabetes aged 18-39 in England in the latest report (2021/22). It is associated with a more aggressive phenotype than older-onset Type 2 diabetes, including more rapid progression of glycaemia, and earlier complications with significant reduction in life expectancy. Despite this, people with EOT2D are less likely to receive all recommended care processes and tend to have higher HbA1c levels than people with older-onset Type 2 diabetes</w:t>
      </w:r>
      <w:r w:rsidR="00545F92">
        <w:rPr>
          <w:rStyle w:val="FootnoteReference"/>
        </w:rPr>
        <w:footnoteReference w:id="8"/>
      </w:r>
      <w:r>
        <w:t>1. Preparation for pregnancy and pregnancy outcomes are also poorer than in people with Type 1 diabetes; during 2018-2020, only 11% of women with Type 2 diabetes who became pregnant had evidence of adequate preparation for pregnancy</w:t>
      </w:r>
      <w:r w:rsidR="00CF291D">
        <w:rPr>
          <w:rStyle w:val="FootnoteReference"/>
        </w:rPr>
        <w:footnoteReference w:id="9"/>
      </w:r>
      <w:r>
        <w:t xml:space="preserve"> reducing to only 6% of those living in the most deprived areas3.</w:t>
      </w:r>
    </w:p>
    <w:p w:rsidR="00523129" w:rsidP="00523129" w:rsidRDefault="00523129" w14:paraId="463A3543" w14:textId="77777777">
      <w:r>
        <w:t>Please note that although this document relates to the reviews of adults with early onset Type 2 diabetes, the process for identifying this group is likely to involve system searches for all people aged under 40 years who are recorded as having Type 2 diabetes. If any people aged under 18 years are identified, they should be supported to access specialist care for management, as recommended in NICE NG18 (2023) guidance.</w:t>
      </w:r>
    </w:p>
    <w:p w:rsidR="00FF3CAE" w:rsidP="00523129" w:rsidRDefault="00FF3CAE" w14:paraId="1D1A8B01" w14:textId="77777777"/>
    <w:p w:rsidRPr="00A02D5C" w:rsidR="00523129" w:rsidP="00523129" w:rsidRDefault="00523129" w14:paraId="421A19B7" w14:textId="77777777">
      <w:pPr>
        <w:rPr>
          <w:b/>
          <w:bCs/>
        </w:rPr>
      </w:pPr>
      <w:r w:rsidRPr="00A02D5C">
        <w:rPr>
          <w:b/>
          <w:bCs/>
        </w:rPr>
        <w:t>Before the reviews:</w:t>
      </w:r>
    </w:p>
    <w:p w:rsidR="00523129" w:rsidP="00A02D5C" w:rsidRDefault="00523129" w14:paraId="7E595B2B" w14:textId="2C0A2CAF">
      <w:pPr>
        <w:pStyle w:val="ListParagraph"/>
        <w:numPr>
          <w:ilvl w:val="0"/>
          <w:numId w:val="43"/>
        </w:numPr>
      </w:pPr>
      <w:r>
        <w:t>NICE-recommended annual care processes should be completed, and up-to-date values of relevant measures obtained (e.g., re-checking HbA1c prior to review, particularly if there has been an intervening change to glucose-lowering medication or last HbA1c was checked &gt; 6 months ago)</w:t>
      </w:r>
    </w:p>
    <w:p w:rsidR="00523129" w:rsidP="00A02D5C" w:rsidRDefault="00523129" w14:paraId="450B6AB8" w14:textId="14F5E498">
      <w:pPr>
        <w:pStyle w:val="ListParagraph"/>
        <w:numPr>
          <w:ilvl w:val="0"/>
          <w:numId w:val="43"/>
        </w:numPr>
      </w:pPr>
      <w:r>
        <w:t>Please note these reviews are additional to the usual routine care provided for people with EOT2D</w:t>
      </w:r>
    </w:p>
    <w:p w:rsidR="00FF3CAE" w:rsidP="00523129" w:rsidRDefault="00FF3CAE" w14:paraId="5A683A08" w14:textId="77777777"/>
    <w:p w:rsidRPr="00A02D5C" w:rsidR="00523129" w:rsidP="00523129" w:rsidRDefault="00523129" w14:paraId="6209F679" w14:textId="40ECE05D">
      <w:pPr>
        <w:rPr>
          <w:b/>
          <w:bCs/>
        </w:rPr>
      </w:pPr>
      <w:r w:rsidRPr="00A02D5C">
        <w:rPr>
          <w:b/>
          <w:bCs/>
        </w:rPr>
        <w:t>During the reviews:</w:t>
      </w:r>
    </w:p>
    <w:p w:rsidR="00523129" w:rsidP="00523129" w:rsidRDefault="00523129" w14:paraId="334173CC" w14:textId="77777777">
      <w:r>
        <w:t>As well as opportunistically addressing any missed care processes, the four key elements of reviews are:</w:t>
      </w:r>
    </w:p>
    <w:p w:rsidR="00523129" w:rsidP="00523129" w:rsidRDefault="00523129" w14:paraId="71042BE7" w14:textId="77777777">
      <w:r>
        <w:t>1) Classification of diabetes type – is this Type 2 diabetes?</w:t>
      </w:r>
    </w:p>
    <w:p w:rsidR="00523129" w:rsidP="00523129" w:rsidRDefault="00523129" w14:paraId="4815321B" w14:textId="77777777">
      <w:r>
        <w:t>2) Contraception and planning for possibility of pregnancy</w:t>
      </w:r>
    </w:p>
    <w:p w:rsidR="00523129" w:rsidP="00523129" w:rsidRDefault="00523129" w14:paraId="703012F1" w14:textId="77777777">
      <w:r>
        <w:t>3) Optimisation of glycaemia, cardiovascular risk, and weight</w:t>
      </w:r>
    </w:p>
    <w:p w:rsidR="00523129" w:rsidP="00523129" w:rsidRDefault="00523129" w14:paraId="7F539F48" w14:textId="77777777">
      <w:r>
        <w:t>4) Psychological wellbeing and unmet social needs</w:t>
      </w:r>
    </w:p>
    <w:p w:rsidR="00523129" w:rsidP="00523129" w:rsidRDefault="00523129" w14:paraId="524CC294" w14:textId="1809D9AF"/>
    <w:p w:rsidRPr="00A02D5C" w:rsidR="00523129" w:rsidP="00A02D5C" w:rsidRDefault="00523129" w14:paraId="65D1971B" w14:textId="21676134">
      <w:pPr>
        <w:pStyle w:val="ListParagraph"/>
        <w:numPr>
          <w:ilvl w:val="0"/>
          <w:numId w:val="53"/>
        </w:numPr>
        <w:rPr>
          <w:b/>
          <w:bCs/>
        </w:rPr>
      </w:pPr>
      <w:r w:rsidRPr="00A02D5C">
        <w:rPr>
          <w:b/>
          <w:bCs/>
        </w:rPr>
        <w:t>Classification of diabetes type – is this Type 2 diabetes?</w:t>
      </w:r>
    </w:p>
    <w:p w:rsidR="00523129" w:rsidP="00A02D5C" w:rsidRDefault="00523129" w14:paraId="349EE3DD" w14:textId="40C2A5F4">
      <w:pPr>
        <w:pStyle w:val="ListParagraph"/>
        <w:numPr>
          <w:ilvl w:val="0"/>
          <w:numId w:val="44"/>
        </w:numPr>
      </w:pPr>
      <w:r>
        <w:lastRenderedPageBreak/>
        <w:t>Young people may have subtypes of diabetes other than Type 2 diabetes such as Type 1 diabetes or monogenic diabetes (e.g., maturity onset diabetes of the young, MODY)</w:t>
      </w:r>
    </w:p>
    <w:p w:rsidR="00523129" w:rsidP="00A02D5C" w:rsidRDefault="00523129" w14:paraId="4E987531" w14:textId="342B9156">
      <w:pPr>
        <w:pStyle w:val="ListParagraph"/>
        <w:numPr>
          <w:ilvl w:val="0"/>
          <w:numId w:val="44"/>
        </w:numPr>
      </w:pPr>
      <w:r>
        <w:t>Although it can be difficult to distinguish Type 2 diabetes from other types of diabetes based on clinical features, it is worth considering ‘are there features here that don’t fit with early onset Type 2 diabetes?’</w:t>
      </w:r>
    </w:p>
    <w:p w:rsidR="00523129" w:rsidP="00A02D5C" w:rsidRDefault="00523129" w14:paraId="49D4C5D2" w14:textId="4A53AE3E">
      <w:pPr>
        <w:pStyle w:val="ListParagraph"/>
        <w:numPr>
          <w:ilvl w:val="1"/>
          <w:numId w:val="44"/>
        </w:numPr>
      </w:pPr>
      <w:r>
        <w:t>For example, they have a relatively lean BMI, they do not have any features of insulin resistance or metabolic syndrome, there is no family history of Type 2 diabetes. Note that in people of South Asian ethnicity, EOT2D may develop at lower levels of BMI than people of white ethnicity, although they would usually still have a BMI falling within the overweight or obese category</w:t>
      </w:r>
    </w:p>
    <w:p w:rsidR="00523129" w:rsidP="00A02D5C" w:rsidRDefault="00523129" w14:paraId="02B5EE26" w14:textId="212B1402">
      <w:pPr>
        <w:pStyle w:val="ListParagraph"/>
        <w:numPr>
          <w:ilvl w:val="1"/>
          <w:numId w:val="44"/>
        </w:numPr>
      </w:pPr>
      <w:r>
        <w:t>NICE NG17 (2022) states that people with Type 1 diabetes typically (but not always) have 1 or more of: ketosis, rapid weight loss, age of onset &lt; 50 years, BMI &lt; 25 kg/m2, personal and/or family history of autoimmune disease. Do not use age, BMI, or ethnicity alone to exclude Type 1 diabetes</w:t>
      </w:r>
    </w:p>
    <w:p w:rsidR="00523129" w:rsidP="00A02D5C" w:rsidRDefault="00523129" w14:paraId="187DC7A7" w14:textId="507F48E9">
      <w:pPr>
        <w:pStyle w:val="ListParagraph"/>
        <w:numPr>
          <w:ilvl w:val="1"/>
          <w:numId w:val="44"/>
        </w:numPr>
      </w:pPr>
      <w:r>
        <w:t>MODY is usually characterised by a strong family history of which may have been identified in multiple generations at young ages (50% chance of being passed to the next generation). Bear in mind that a parent may have been misclassified as having Type 1 or Type 2 diabetes</w:t>
      </w:r>
    </w:p>
    <w:p w:rsidR="00523129" w:rsidP="00A02D5C" w:rsidRDefault="00523129" w14:paraId="2C610CB7" w14:textId="2EA1D7A0">
      <w:pPr>
        <w:pStyle w:val="ListParagraph"/>
        <w:numPr>
          <w:ilvl w:val="1"/>
          <w:numId w:val="44"/>
        </w:numPr>
      </w:pPr>
      <w:r>
        <w:t xml:space="preserve">The agreed national guidelines for eligibility for testing for MODY (R141 guidelines) are available at </w:t>
      </w:r>
      <w:hyperlink w:history="1" r:id="rId13">
        <w:r w:rsidRPr="00F30802" w:rsidR="00113F79">
          <w:rPr>
            <w:rStyle w:val="Hyperlink"/>
          </w:rPr>
          <w:t>https://www.diabetesgenes.org/tests-for-diabetes-subtypes/guidelines-for-genetic-testing-in-mody/</w:t>
        </w:r>
      </w:hyperlink>
      <w:r w:rsidR="00113F79">
        <w:t xml:space="preserve"> </w:t>
      </w:r>
    </w:p>
    <w:p w:rsidR="00523129" w:rsidP="00A02D5C" w:rsidRDefault="00523129" w14:paraId="2231980E" w14:textId="7BECFF1D">
      <w:pPr>
        <w:pStyle w:val="ListParagraph"/>
        <w:numPr>
          <w:ilvl w:val="0"/>
          <w:numId w:val="44"/>
        </w:numPr>
      </w:pPr>
      <w:r>
        <w:t>Although classification of diabetes type should be considered at time of diagnosis, it should also be regularly reviewed as features may develop that indicate an alternative diabetes subtype</w:t>
      </w:r>
    </w:p>
    <w:p w:rsidR="00BB76C2" w:rsidP="00523129" w:rsidRDefault="00523129" w14:paraId="65519B9C" w14:textId="77777777">
      <w:pPr>
        <w:pStyle w:val="ListParagraph"/>
        <w:numPr>
          <w:ilvl w:val="0"/>
          <w:numId w:val="44"/>
        </w:numPr>
      </w:pPr>
      <w:r>
        <w:t>If there is concern that this may not be Type 2 diabetes, follow the local pathway for further assessment. In most areas, this is likely to include a referral to specialist teams. If Type 1 diabetes is strongly suspected, urgently discuss with specialist care, and do not delay starting treatment</w:t>
      </w:r>
    </w:p>
    <w:p w:rsidR="00BB76C2" w:rsidP="00A02D5C" w:rsidRDefault="00BB76C2" w14:paraId="6C347582" w14:textId="77777777">
      <w:pPr>
        <w:pStyle w:val="ListParagraph"/>
      </w:pPr>
    </w:p>
    <w:p w:rsidRPr="00113F79" w:rsidR="00523129" w:rsidP="00A02D5C" w:rsidRDefault="00523129" w14:paraId="0522DE3D" w14:textId="1F360458">
      <w:pPr>
        <w:pStyle w:val="ListParagraph"/>
        <w:numPr>
          <w:ilvl w:val="0"/>
          <w:numId w:val="53"/>
        </w:numPr>
      </w:pPr>
      <w:r w:rsidRPr="00113F79">
        <w:rPr>
          <w:b/>
          <w:bCs/>
        </w:rPr>
        <w:t>Contraception and planning for possibility of pregnancy</w:t>
      </w:r>
    </w:p>
    <w:p w:rsidR="00523129" w:rsidP="00A02D5C" w:rsidRDefault="00523129" w14:paraId="25B48B6D" w14:textId="266B39ED">
      <w:pPr>
        <w:pStyle w:val="ListParagraph"/>
        <w:numPr>
          <w:ilvl w:val="0"/>
          <w:numId w:val="44"/>
        </w:numPr>
      </w:pPr>
      <w:r>
        <w:t>Women with EOT2D have an increased risk of stillbirth and neonatal morbidity. The major modifiable risk factor for this is glucose control at the start of pregnancy (this may be before the woman is aware she is pregnant). HbA1c &gt; 48 mmol/mol is associated with poor pregnancy outcomes</w:t>
      </w:r>
    </w:p>
    <w:p w:rsidR="00523129" w:rsidP="00A02D5C" w:rsidRDefault="00523129" w14:paraId="1A559018" w14:textId="25E03BB0">
      <w:pPr>
        <w:pStyle w:val="ListParagraph"/>
        <w:numPr>
          <w:ilvl w:val="1"/>
          <w:numId w:val="44"/>
        </w:numPr>
      </w:pPr>
      <w:r>
        <w:t>According to NPID data (2014 to 2020), only 11% of pregnant women with Type 2 diabetes had received adequate pre-pregnancy care</w:t>
      </w:r>
    </w:p>
    <w:p w:rsidR="00523129" w:rsidP="00A02D5C" w:rsidRDefault="00523129" w14:paraId="5F85A4BC" w14:textId="209EABC9">
      <w:pPr>
        <w:pStyle w:val="ListParagraph"/>
        <w:numPr>
          <w:ilvl w:val="0"/>
          <w:numId w:val="44"/>
        </w:numPr>
      </w:pPr>
      <w:r>
        <w:t>Note that many of the medicines used to manage glucose and cardiovascular risk are not advised in pregnancy. Contraception should be used if taking these drugs. If not wishing to use contraception, consider likelihood of pregnancy occurring (it may be reasonable to assume that pregnancy is likely – almost half of all pregnancies are unplanned)</w:t>
      </w:r>
    </w:p>
    <w:p w:rsidR="00523129" w:rsidP="00A02D5C" w:rsidRDefault="00523129" w14:paraId="250DAD18" w14:textId="083F081F">
      <w:pPr>
        <w:pStyle w:val="ListParagraph"/>
        <w:numPr>
          <w:ilvl w:val="0"/>
          <w:numId w:val="44"/>
        </w:numPr>
      </w:pPr>
      <w:r>
        <w:t>If not trying for pregnancy, contraception should be offered and initiated / arranged as appropriate</w:t>
      </w:r>
    </w:p>
    <w:p w:rsidR="00523129" w:rsidP="00A02D5C" w:rsidRDefault="00523129" w14:paraId="18B641AC" w14:textId="0290DEB3">
      <w:pPr>
        <w:pStyle w:val="ListParagraph"/>
        <w:numPr>
          <w:ilvl w:val="0"/>
          <w:numId w:val="44"/>
        </w:numPr>
      </w:pPr>
      <w:r>
        <w:t>Women trying for pregnancy or likely to become pregnant should be prescribed folic acid 5mg daily and have their medication reviewed</w:t>
      </w:r>
    </w:p>
    <w:p w:rsidR="00523129" w:rsidP="00A02D5C" w:rsidRDefault="00523129" w14:paraId="23020FB2" w14:textId="40B14364">
      <w:pPr>
        <w:pStyle w:val="ListParagraph"/>
        <w:numPr>
          <w:ilvl w:val="1"/>
          <w:numId w:val="44"/>
        </w:numPr>
      </w:pPr>
      <w:r>
        <w:t>The only safe glucose-lowering drugs in pregnancy are metformin and insulin. If insulin initiation is needed, this should be commenced in line with local pathways</w:t>
      </w:r>
    </w:p>
    <w:p w:rsidR="00523129" w:rsidP="00A02D5C" w:rsidRDefault="00523129" w14:paraId="2120D996" w14:textId="1E4AD360">
      <w:pPr>
        <w:pStyle w:val="ListParagraph"/>
        <w:numPr>
          <w:ilvl w:val="1"/>
          <w:numId w:val="44"/>
        </w:numPr>
      </w:pPr>
      <w:r>
        <w:lastRenderedPageBreak/>
        <w:t>If actively trying for pregnancy, an HbA1c target of &lt; 43 mmol/mol may be suggested</w:t>
      </w:r>
    </w:p>
    <w:p w:rsidR="00523129" w:rsidP="00A02D5C" w:rsidRDefault="00523129" w14:paraId="044812A2" w14:textId="01A406EB">
      <w:pPr>
        <w:pStyle w:val="ListParagraph"/>
        <w:numPr>
          <w:ilvl w:val="1"/>
          <w:numId w:val="44"/>
        </w:numPr>
      </w:pPr>
      <w:r>
        <w:t>Follow local pathways for pre-conception support / review</w:t>
      </w:r>
    </w:p>
    <w:p w:rsidR="00523129" w:rsidP="00BB76C2" w:rsidRDefault="00523129" w14:paraId="5BFF7ABC" w14:textId="1F04B99F">
      <w:pPr>
        <w:pStyle w:val="ListParagraph"/>
        <w:numPr>
          <w:ilvl w:val="0"/>
          <w:numId w:val="44"/>
        </w:numPr>
      </w:pPr>
      <w:r>
        <w:t>Women with EOT2D should be informed that they should urgently notify their GP practice (or diabetes team if applicable) if they have a positive pregnancy test so that they can be urgently referred to the Diabetes in Pregnancy team (for antenatal clinic review within a week to reduce pregnancy risks)</w:t>
      </w:r>
    </w:p>
    <w:p w:rsidR="00BB76C2" w:rsidP="00A02D5C" w:rsidRDefault="00BB76C2" w14:paraId="4AACDD1F" w14:textId="77777777">
      <w:pPr>
        <w:pStyle w:val="ListParagraph"/>
      </w:pPr>
    </w:p>
    <w:p w:rsidRPr="00A02D5C" w:rsidR="00523129" w:rsidP="00A02D5C" w:rsidRDefault="00523129" w14:paraId="73146CBD" w14:textId="3191ABC2">
      <w:pPr>
        <w:pStyle w:val="ListParagraph"/>
        <w:numPr>
          <w:ilvl w:val="0"/>
          <w:numId w:val="53"/>
        </w:numPr>
        <w:rPr>
          <w:b/>
          <w:bCs/>
        </w:rPr>
      </w:pPr>
      <w:r w:rsidRPr="00A02D5C">
        <w:rPr>
          <w:b/>
          <w:bCs/>
        </w:rPr>
        <w:t>Optimisation of glycaemia, cardiovascular risk, and weight</w:t>
      </w:r>
    </w:p>
    <w:p w:rsidR="00523129" w:rsidP="00A02D5C" w:rsidRDefault="00523129" w14:paraId="719C84D2" w14:textId="2F241F97">
      <w:pPr>
        <w:pStyle w:val="ListParagraph"/>
        <w:numPr>
          <w:ilvl w:val="0"/>
          <w:numId w:val="44"/>
        </w:numPr>
      </w:pPr>
      <w:r>
        <w:t>Consider referral to the NHS Type 2 Diabetes Path to Remission Programme (T2DR; will be available nationwide by April 2024) or other intensive lifestyle change interventions</w:t>
      </w:r>
    </w:p>
    <w:p w:rsidR="00523129" w:rsidP="00A02D5C" w:rsidRDefault="00523129" w14:paraId="1CA0575D" w14:textId="45D3CB38">
      <w:pPr>
        <w:pStyle w:val="ListParagraph"/>
        <w:numPr>
          <w:ilvl w:val="0"/>
          <w:numId w:val="44"/>
        </w:numPr>
      </w:pPr>
      <w:r>
        <w:t>Early outcomes from the NHS T2DR programme show mean weight loss of 11kg at 12 months. It is expected to improve glycaemia, blood pressure and cardiovascular risk (data on remission rates is awaited). See your local referral form for full eligibility requirements</w:t>
      </w:r>
    </w:p>
    <w:p w:rsidRPr="00A02D5C" w:rsidR="00523129" w:rsidP="00A02D5C" w:rsidRDefault="00523129" w14:paraId="4E4453FD" w14:textId="6F545332">
      <w:pPr>
        <w:pStyle w:val="ListParagraph"/>
        <w:numPr>
          <w:ilvl w:val="0"/>
          <w:numId w:val="62"/>
        </w:numPr>
        <w:rPr>
          <w:b/>
          <w:bCs/>
        </w:rPr>
      </w:pPr>
      <w:r w:rsidRPr="00A02D5C">
        <w:rPr>
          <w:b/>
          <w:bCs/>
        </w:rPr>
        <w:t>Glycaemia:</w:t>
      </w:r>
    </w:p>
    <w:p w:rsidR="00523129" w:rsidP="00A02D5C" w:rsidRDefault="00523129" w14:paraId="5A21DAC5" w14:textId="3B377721">
      <w:pPr>
        <w:pStyle w:val="ListParagraph"/>
        <w:numPr>
          <w:ilvl w:val="0"/>
          <w:numId w:val="44"/>
        </w:numPr>
        <w:ind w:left="1080"/>
      </w:pPr>
      <w:r>
        <w:t>NICE NG28 recommends discussing and agreeing an individual HbA1c target. One factor the accompanying NICE decision aid specifies is ‘thinking about my age and my health overall, my quality</w:t>
      </w:r>
      <w:r w:rsidR="006D1674">
        <w:t xml:space="preserve"> </w:t>
      </w:r>
      <w:r>
        <w:t>of life in the long term is important.’ The decision aid is found at</w:t>
      </w:r>
    </w:p>
    <w:p w:rsidR="00523129" w:rsidP="00A02D5C" w:rsidRDefault="00523129" w14:paraId="5FD2A5B6" w14:textId="77777777">
      <w:pPr>
        <w:pStyle w:val="ListParagraph"/>
        <w:numPr>
          <w:ilvl w:val="0"/>
          <w:numId w:val="44"/>
        </w:numPr>
        <w:ind w:left="1080"/>
      </w:pPr>
      <w:r>
        <w:t>https://www.nice.org.uk/guidance/ng28/resources/patient-decision-aid-pdf-2187281198</w:t>
      </w:r>
    </w:p>
    <w:p w:rsidR="00523129" w:rsidP="00A02D5C" w:rsidRDefault="00523129" w14:paraId="48A497E6" w14:textId="0DC79188">
      <w:pPr>
        <w:pStyle w:val="ListParagraph"/>
        <w:numPr>
          <w:ilvl w:val="0"/>
          <w:numId w:val="44"/>
        </w:numPr>
        <w:ind w:left="1080"/>
      </w:pPr>
      <w:r>
        <w:t>People with EOT2D are at higher risk of complications that those who develop Type 2 diabetes later in life. There is therefore rationale for agreeing more intensive glycaemic targets in people with EOT2D than typically used. Given the higher risk profile, the QOF-incentivised HbA1c target of</w:t>
      </w:r>
      <w:r w:rsidR="006D1674">
        <w:t xml:space="preserve"> </w:t>
      </w:r>
      <w:r>
        <w:t>≤ 58 mmol/mol is unlikely to be suitable; a target of ≤ 48 mmol/mol may be more appropriate</w:t>
      </w:r>
    </w:p>
    <w:p w:rsidR="00523129" w:rsidP="00A02D5C" w:rsidRDefault="00523129" w14:paraId="6D643994" w14:textId="5C89FFF2">
      <w:pPr>
        <w:pStyle w:val="ListParagraph"/>
        <w:numPr>
          <w:ilvl w:val="0"/>
          <w:numId w:val="44"/>
        </w:numPr>
        <w:ind w:left="1080"/>
      </w:pPr>
      <w:r>
        <w:t>Note that people with EOT2D may have faster progression with increasing HbA1c than is typically seen with onset at older ages. NICE recommend rechecking HbA1c every 3-6 months until HbA1c is stable on unchanging therapy and then 6 monthly. It is important to avoid therapeutic inertia and to escalate treatment promptly if individualised targets are not met</w:t>
      </w:r>
    </w:p>
    <w:p w:rsidR="00523129" w:rsidP="00A02D5C" w:rsidRDefault="00523129" w14:paraId="3901D99A" w14:textId="69CE1164">
      <w:pPr>
        <w:pStyle w:val="ListParagraph"/>
        <w:numPr>
          <w:ilvl w:val="0"/>
          <w:numId w:val="44"/>
        </w:numPr>
        <w:ind w:left="1080"/>
      </w:pPr>
      <w:r>
        <w:t>NICE NG28 sets out guidance on use of glucose-lowering therapies, including recommendations for each step of intensification. Note that, in addition to glucose-lowering impact, SGLT2 inhibitors and GLP-1 receptor agonists have additional benefits in supporting weight loss and reducing CV risk and may therefore be particularly appropriate for people with EOT2D at applicable steps of intensification, in line with NICE guidance (not suitable if trying for pregnancy / likely to become pregnant)</w:t>
      </w:r>
    </w:p>
    <w:p w:rsidR="00221E3D" w:rsidP="00221E3D" w:rsidRDefault="00523129" w14:paraId="74F7D1BB" w14:textId="77777777">
      <w:pPr>
        <w:pStyle w:val="ListParagraph"/>
        <w:numPr>
          <w:ilvl w:val="0"/>
          <w:numId w:val="44"/>
        </w:numPr>
        <w:ind w:left="1080"/>
      </w:pPr>
      <w:r>
        <w:t xml:space="preserve">Offer diabetes structured education, even if previously attended. Take into account individual needs and preference and discuss options available. </w:t>
      </w:r>
      <w:r w:rsidRPr="00221E3D">
        <w:t>Note that Healthy Living</w:t>
      </w:r>
      <w:r>
        <w:t xml:space="preserve"> is a nationally commissioned, digital structured education service which can be accessed at </w:t>
      </w:r>
      <w:hyperlink w:history="1" r:id="rId14">
        <w:r w:rsidRPr="00A02D5C" w:rsidR="000F58DF">
          <w:t>www.healthyliving.nhs.uk</w:t>
        </w:r>
      </w:hyperlink>
    </w:p>
    <w:p w:rsidRPr="00221E3D" w:rsidR="006D1674" w:rsidP="00A02D5C" w:rsidRDefault="00523129" w14:paraId="2870F497" w14:textId="15722AA0">
      <w:pPr>
        <w:pStyle w:val="ListParagraph"/>
        <w:numPr>
          <w:ilvl w:val="0"/>
          <w:numId w:val="62"/>
        </w:numPr>
      </w:pPr>
      <w:r w:rsidRPr="00A02D5C">
        <w:rPr>
          <w:b/>
          <w:bCs/>
        </w:rPr>
        <w:t>Cardiovascular risk:</w:t>
      </w:r>
    </w:p>
    <w:p w:rsidRPr="006D1674" w:rsidR="00523129" w:rsidP="00A02D5C" w:rsidRDefault="00523129" w14:paraId="5F3A14E1" w14:textId="40B986B0">
      <w:pPr>
        <w:pStyle w:val="ListParagraph"/>
        <w:numPr>
          <w:ilvl w:val="0"/>
          <w:numId w:val="44"/>
        </w:numPr>
        <w:ind w:left="1080"/>
      </w:pPr>
      <w:r>
        <w:t>Statins and SGLT2 inhibitors may be indicated for reducing cardiovascular risk</w:t>
      </w:r>
    </w:p>
    <w:p w:rsidR="00523129" w:rsidP="00A02D5C" w:rsidRDefault="00523129" w14:paraId="523FDA72" w14:textId="59F8B0DB">
      <w:pPr>
        <w:pStyle w:val="ListParagraph"/>
        <w:numPr>
          <w:ilvl w:val="0"/>
          <w:numId w:val="44"/>
        </w:numPr>
        <w:ind w:left="1080"/>
      </w:pPr>
      <w:r>
        <w:lastRenderedPageBreak/>
        <w:t>Anyone with EOT2D and known CVD / HF should be offered a statin as well as an SGLT2 inhibitor</w:t>
      </w:r>
    </w:p>
    <w:p w:rsidR="00523129" w:rsidP="00A02D5C" w:rsidRDefault="00523129" w14:paraId="76AC3807" w14:textId="281F08F8">
      <w:pPr>
        <w:pStyle w:val="ListParagraph"/>
        <w:numPr>
          <w:ilvl w:val="0"/>
          <w:numId w:val="44"/>
        </w:numPr>
        <w:ind w:left="1080"/>
      </w:pPr>
      <w:r>
        <w:t>Due to particularly elevated lifetime risk of CVD, NICE recommends consideration of the use of SGLT2 inhibitors in people with EOT2D and any of hypertension, dyslipidaemia, smoking, obesity, and family history (in a first-degree relative) of premature cardiovascular disease</w:t>
      </w:r>
    </w:p>
    <w:p w:rsidR="00523129" w:rsidP="00A02D5C" w:rsidRDefault="00523129" w14:paraId="47EE64F8" w14:textId="0D7C51AF">
      <w:pPr>
        <w:pStyle w:val="ListParagraph"/>
        <w:numPr>
          <w:ilvl w:val="0"/>
          <w:numId w:val="44"/>
        </w:numPr>
        <w:ind w:left="1080"/>
      </w:pPr>
      <w:r>
        <w:t>While setting the threshold to offer statins for primary prevention at a 10-year QRISK3 score of ≥ 10%, NICE CG181 states ’do not rule out treatment with atorvastatin 20 mg for the primary prevention of CVD just because the person's 10</w:t>
      </w:r>
      <w:r w:rsidRPr="00221E3D">
        <w:rPr>
          <w:rFonts w:ascii="Cambria Math" w:hAnsi="Cambria Math" w:cs="Cambria Math"/>
        </w:rPr>
        <w:t>‑</w:t>
      </w:r>
      <w:r>
        <w:t>year QRISK3 score is less than 10% if they have an informed preference for taking a statin or there is concern that risk may be underestimated’</w:t>
      </w:r>
    </w:p>
    <w:p w:rsidR="00523129" w:rsidP="00A02D5C" w:rsidRDefault="00523129" w14:paraId="1FA464D3" w14:textId="1C66B824">
      <w:pPr>
        <w:pStyle w:val="ListParagraph"/>
        <w:numPr>
          <w:ilvl w:val="0"/>
          <w:numId w:val="44"/>
        </w:numPr>
        <w:ind w:left="1080"/>
      </w:pPr>
      <w:r>
        <w:t>Note that the 10-year QRISK3 score will not reflect lifetime CVD risk for people with EO2TD and therefore consideration for statin therapy, in line with the criteria set out for considering use of SGLT2 inhibitors, may be appropriate</w:t>
      </w:r>
    </w:p>
    <w:p w:rsidR="00523129" w:rsidP="00A02D5C" w:rsidRDefault="00523129" w14:paraId="00BCA742" w14:textId="0C6307B8">
      <w:pPr>
        <w:pStyle w:val="ListParagraph"/>
        <w:numPr>
          <w:ilvl w:val="0"/>
          <w:numId w:val="44"/>
        </w:numPr>
        <w:ind w:left="1080"/>
      </w:pPr>
      <w:r>
        <w:t>Statins are also recommended if there is co-existent CKD, as are SGLT2 inhibitors. Note that the guidance for each SGLT2 inhibitor varies for this indication. Follow your local pathway and formulary</w:t>
      </w:r>
    </w:p>
    <w:p w:rsidR="006D1674" w:rsidP="00A02D5C" w:rsidRDefault="00523129" w14:paraId="51BEEB68" w14:textId="77777777">
      <w:pPr>
        <w:pStyle w:val="ListParagraph"/>
        <w:numPr>
          <w:ilvl w:val="0"/>
          <w:numId w:val="44"/>
        </w:numPr>
        <w:ind w:left="1080"/>
      </w:pPr>
      <w:r>
        <w:t>SGLT2 inhibitors and statins are not suitable if trying for pregnancy / likely to become pregnant</w:t>
      </w:r>
    </w:p>
    <w:p w:rsidR="00523129" w:rsidP="00A02D5C" w:rsidRDefault="00523129" w14:paraId="3E588E25" w14:textId="5AB7A196">
      <w:pPr>
        <w:pStyle w:val="ListParagraph"/>
        <w:numPr>
          <w:ilvl w:val="0"/>
          <w:numId w:val="44"/>
        </w:numPr>
        <w:ind w:left="1080"/>
      </w:pPr>
      <w:r>
        <w:t>Blood pressure should be managed in line with NICE NG136, with a clinic BP target of &lt; 140/90 mmHg (or average home BP of &lt; 135/85 mmHg) for people with EOT2D and hypertension</w:t>
      </w:r>
    </w:p>
    <w:p w:rsidR="003C0984" w:rsidP="00A02D5C" w:rsidRDefault="00523129" w14:paraId="53FD4CD1" w14:textId="77777777">
      <w:pPr>
        <w:pStyle w:val="ListParagraph"/>
        <w:numPr>
          <w:ilvl w:val="0"/>
          <w:numId w:val="44"/>
        </w:numPr>
        <w:ind w:left="1080"/>
      </w:pPr>
      <w:r>
        <w:t>NICE recommends that an ACE-inhibitor or Angiotensin Receptor Blocker (ARB) is used preferentially as the first-line medication for managing high blood pressure in people with Type 2 diabetes, with an ARB more suitable in people of Black ethnicity. Note that these medicines are not suitable in women if trying for pregnancy / likely to become pregnant</w:t>
      </w:r>
    </w:p>
    <w:p w:rsidR="000F58DF" w:rsidP="00A02D5C" w:rsidRDefault="00523129" w14:paraId="4BA131F6" w14:textId="2908374A">
      <w:pPr>
        <w:pStyle w:val="ListParagraph"/>
        <w:numPr>
          <w:ilvl w:val="0"/>
          <w:numId w:val="44"/>
        </w:numPr>
        <w:ind w:left="1080"/>
      </w:pPr>
      <w:r>
        <w:t>Offer support with smoking cessation in line with local pathways</w:t>
      </w:r>
    </w:p>
    <w:p w:rsidRPr="00A02D5C" w:rsidR="00523129" w:rsidP="00A02D5C" w:rsidRDefault="00523129" w14:paraId="0783326D" w14:textId="1D791F48">
      <w:pPr>
        <w:pStyle w:val="ListParagraph"/>
        <w:numPr>
          <w:ilvl w:val="0"/>
          <w:numId w:val="62"/>
        </w:numPr>
        <w:rPr>
          <w:b/>
          <w:bCs/>
        </w:rPr>
      </w:pPr>
      <w:r w:rsidRPr="00A02D5C">
        <w:rPr>
          <w:b/>
          <w:bCs/>
        </w:rPr>
        <w:t>Weight:</w:t>
      </w:r>
    </w:p>
    <w:p w:rsidR="00523129" w:rsidP="00A02D5C" w:rsidRDefault="00523129" w14:paraId="4F3242F5" w14:textId="27C18F18">
      <w:pPr>
        <w:pStyle w:val="ListParagraph"/>
        <w:numPr>
          <w:ilvl w:val="0"/>
          <w:numId w:val="44"/>
        </w:numPr>
        <w:ind w:left="1080"/>
      </w:pPr>
      <w:r>
        <w:t>If not referring to the NHS Type 2 Diabetes Path to Remission Programme, consider other appropriate weight management support, including local service offers</w:t>
      </w:r>
    </w:p>
    <w:p w:rsidRPr="00113F79" w:rsidR="00523129" w:rsidP="00A02D5C" w:rsidRDefault="00523129" w14:paraId="563F9628" w14:textId="49A1DF87">
      <w:pPr>
        <w:pStyle w:val="ListParagraph"/>
        <w:numPr>
          <w:ilvl w:val="0"/>
          <w:numId w:val="44"/>
        </w:numPr>
        <w:ind w:left="1080"/>
      </w:pPr>
      <w:r w:rsidRPr="00113F79">
        <w:t>The NHS Digital Weight Management Programme is available for people with diabetes and BMI ≥ 30 (adjusted to BMI ≥ 27.5 in ethnic minorities)</w:t>
      </w:r>
    </w:p>
    <w:p w:rsidR="0070365E" w:rsidP="00A02D5C" w:rsidRDefault="00523129" w14:paraId="17772EB6" w14:textId="77777777">
      <w:pPr>
        <w:pStyle w:val="ListParagraph"/>
        <w:numPr>
          <w:ilvl w:val="0"/>
          <w:numId w:val="44"/>
        </w:numPr>
        <w:ind w:left="1080"/>
      </w:pPr>
      <w:r>
        <w:t>Also con</w:t>
      </w:r>
      <w:r w:rsidR="003C0984">
        <w:t>si</w:t>
      </w:r>
      <w:r>
        <w:t>der referring to specialist obesity services in line with local pathways</w:t>
      </w:r>
    </w:p>
    <w:p w:rsidRPr="0070365E" w:rsidR="00523129" w:rsidP="00A02D5C" w:rsidRDefault="00523129" w14:paraId="51EA7DF5" w14:textId="1732E74D">
      <w:pPr>
        <w:pStyle w:val="ListParagraph"/>
        <w:numPr>
          <w:ilvl w:val="0"/>
          <w:numId w:val="62"/>
        </w:numPr>
      </w:pPr>
      <w:r w:rsidRPr="00A02D5C">
        <w:rPr>
          <w:b/>
          <w:bCs/>
        </w:rPr>
        <w:t>Psychological wellbeing and unmet social needs</w:t>
      </w:r>
    </w:p>
    <w:p w:rsidR="00523129" w:rsidP="00A02D5C" w:rsidRDefault="00523129" w14:paraId="2BEF0070" w14:textId="13BAA3E1">
      <w:pPr>
        <w:pStyle w:val="ListParagraph"/>
        <w:numPr>
          <w:ilvl w:val="0"/>
          <w:numId w:val="44"/>
        </w:numPr>
        <w:ind w:left="1080"/>
      </w:pPr>
      <w:r>
        <w:t>People with EOT2D may have concurrent psychological needs. These should be assessed, and appropriate support offered in accordance with relevant NICE guidance and local pathways</w:t>
      </w:r>
    </w:p>
    <w:p w:rsidR="00523129" w:rsidP="00A02D5C" w:rsidRDefault="00523129" w14:paraId="0AF099C3" w14:textId="19789286">
      <w:pPr>
        <w:pStyle w:val="ListParagraph"/>
        <w:numPr>
          <w:ilvl w:val="0"/>
          <w:numId w:val="44"/>
        </w:numPr>
        <w:ind w:left="1080"/>
      </w:pPr>
      <w:r>
        <w:t>Explore unmet social needs and consider if social prescribing and/or other support may be indicated</w:t>
      </w:r>
    </w:p>
    <w:p w:rsidRPr="00BD741A" w:rsidR="00564B52" w:rsidP="00A02D5C" w:rsidRDefault="00523129" w14:paraId="43DF432C" w14:textId="70B4014A">
      <w:pPr>
        <w:pStyle w:val="ListParagraph"/>
        <w:numPr>
          <w:ilvl w:val="0"/>
          <w:numId w:val="44"/>
        </w:numPr>
        <w:ind w:left="1080"/>
      </w:pPr>
      <w:r>
        <w:t>Consider local opportunities for peer support</w:t>
      </w:r>
    </w:p>
    <w:sectPr w:rsidRPr="00BD741A" w:rsidR="00564B52" w:rsidSect="004E68F2">
      <w:pgSz w:w="15840" w:h="12240" w:orient="landscape"/>
      <w:pgMar w:top="1701" w:right="907" w:bottom="1678" w:left="851" w:header="1021"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AEB" w:rsidRDefault="001E3AEB" w14:paraId="5AB2ED4B" w14:textId="77777777"/>
  </w:endnote>
  <w:endnote w:type="continuationSeparator" w:id="0">
    <w:p w:rsidR="001E3AEB" w:rsidRDefault="001E3AEB" w14:paraId="29F73EEC" w14:textId="77777777"/>
  </w:endnote>
  <w:endnote w:type="continuationNotice" w:id="1">
    <w:p w:rsidR="001E3AEB" w:rsidRDefault="001E3AEB" w14:paraId="603B13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Syntax">
    <w:altName w:val="Cambria"/>
    <w:panose1 w:val="00000000000000000000"/>
    <w:charset w:val="00"/>
    <w:family w:val="roman"/>
    <w:notTrueType/>
    <w:pitch w:val="default"/>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Arial Bold">
    <w:panose1 w:val="020B07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111573"/>
      <w:docPartObj>
        <w:docPartGallery w:val="Page Numbers (Bottom of Page)"/>
        <w:docPartUnique/>
      </w:docPartObj>
    </w:sdtPr>
    <w:sdtEndPr>
      <w:rPr>
        <w:b/>
        <w:noProof/>
        <w:sz w:val="16"/>
        <w:szCs w:val="16"/>
      </w:rPr>
    </w:sdtEndPr>
    <w:sdtContent>
      <w:p w:rsidRPr="0030136B" w:rsidR="00BD741A" w:rsidRDefault="00BD741A" w14:paraId="3EAA84BD" w14:textId="77777777">
        <w:pPr>
          <w:pStyle w:val="Footer"/>
          <w:jc w:val="right"/>
          <w:rPr>
            <w:b/>
            <w:sz w:val="16"/>
            <w:szCs w:val="16"/>
          </w:rPr>
        </w:pPr>
        <w:r w:rsidRPr="0030136B">
          <w:rPr>
            <w:b/>
            <w:sz w:val="16"/>
            <w:szCs w:val="16"/>
          </w:rPr>
          <w:fldChar w:fldCharType="begin"/>
        </w:r>
        <w:r w:rsidRPr="0030136B">
          <w:rPr>
            <w:b/>
            <w:sz w:val="16"/>
            <w:szCs w:val="16"/>
          </w:rPr>
          <w:instrText xml:space="preserve"> PAGE   \* MERGEFORMAT </w:instrText>
        </w:r>
        <w:r w:rsidRPr="0030136B">
          <w:rPr>
            <w:b/>
            <w:sz w:val="16"/>
            <w:szCs w:val="16"/>
          </w:rPr>
          <w:fldChar w:fldCharType="separate"/>
        </w:r>
        <w:r>
          <w:rPr>
            <w:b/>
            <w:noProof/>
            <w:sz w:val="16"/>
            <w:szCs w:val="16"/>
          </w:rPr>
          <w:t>19</w:t>
        </w:r>
        <w:r w:rsidRPr="0030136B">
          <w:rPr>
            <w:b/>
            <w:noProof/>
            <w:sz w:val="16"/>
            <w:szCs w:val="16"/>
          </w:rPr>
          <w:fldChar w:fldCharType="end"/>
        </w:r>
      </w:p>
    </w:sdtContent>
  </w:sdt>
  <w:p w:rsidR="00BD741A" w:rsidRDefault="00BD741A" w14:paraId="2EB320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AEB" w:rsidRDefault="001E3AEB" w14:paraId="56061390" w14:textId="77777777"/>
  </w:footnote>
  <w:footnote w:type="continuationSeparator" w:id="0">
    <w:p w:rsidR="001E3AEB" w:rsidRDefault="001E3AEB" w14:paraId="4A29E302" w14:textId="77777777"/>
  </w:footnote>
  <w:footnote w:type="continuationNotice" w:id="1">
    <w:p w:rsidR="001E3AEB" w:rsidRDefault="001E3AEB" w14:paraId="6677DBD0" w14:textId="77777777"/>
  </w:footnote>
  <w:footnote w:id="2">
    <w:p w:rsidRPr="00524E02" w:rsidR="00524E02" w:rsidRDefault="00524E02" w14:paraId="3CC7E6D3" w14:textId="10A0D67E">
      <w:pPr>
        <w:pStyle w:val="FootnoteText"/>
        <w:rPr>
          <w:lang w:val="en-GB"/>
        </w:rPr>
      </w:pPr>
      <w:r>
        <w:rPr>
          <w:rStyle w:val="FootnoteReference"/>
        </w:rPr>
        <w:footnoteRef/>
      </w:r>
      <w:r w:rsidR="0029597E">
        <w:t xml:space="preserve"> </w:t>
      </w:r>
      <w:r w:rsidRPr="00B40A94">
        <w:rPr>
          <w:rFonts w:cstheme="minorHAnsi"/>
          <w:sz w:val="18"/>
          <w:szCs w:val="18"/>
          <w:lang w:val="en-GB"/>
        </w:rPr>
        <w:t>For completion of all 8 care processes - 22.8% of 19-25 year olds and 33.6% of 26-39 year olds compared to 46.6% and 58.5% of 40-59 and 60-79 year olds respectively; for HbA1c ≤ 58 mmol/mol - 51.6% of 19-25 year olds and 54.5% of 26-39 year olds compared to 57.1% and 68.4% of 40-59 and 60-79 year olds respectively - National Diabetes Audit, Young People with Type 2 Diabetes, 2019-20</w:t>
      </w:r>
    </w:p>
  </w:footnote>
  <w:footnote w:id="3">
    <w:p w:rsidRPr="0029597E" w:rsidR="004D247D" w:rsidP="0029597E" w:rsidRDefault="004D247D" w14:paraId="20A7B309" w14:textId="005CF0A9">
      <w:pPr>
        <w:widowControl/>
        <w:jc w:val="both"/>
        <w:rPr>
          <w:rFonts w:cstheme="minorHAnsi"/>
          <w:sz w:val="20"/>
          <w:szCs w:val="20"/>
          <w:lang w:val="en-GB"/>
        </w:rPr>
      </w:pPr>
      <w:r>
        <w:rPr>
          <w:rStyle w:val="FootnoteReference"/>
        </w:rPr>
        <w:footnoteRef/>
      </w:r>
      <w:r w:rsidR="0029597E">
        <w:t xml:space="preserve"> </w:t>
      </w:r>
      <w:r w:rsidRPr="00B40A94" w:rsidR="00F30D29">
        <w:rPr>
          <w:rFonts w:cstheme="minorHAnsi"/>
          <w:sz w:val="18"/>
          <w:szCs w:val="18"/>
          <w:lang w:val="en-GB"/>
        </w:rPr>
        <w:t xml:space="preserve">Defined as achieving HbA1c target of &lt; 48 mmol/mol, taking 5mg folic acid and avoiding potentially teratogenic medications. </w:t>
      </w:r>
    </w:p>
  </w:footnote>
  <w:footnote w:id="4">
    <w:p w:rsidRPr="00F027E2" w:rsidR="00F30D29" w:rsidP="00F027E2" w:rsidRDefault="00F30D29" w14:paraId="4EB166A6" w14:textId="0219D083">
      <w:pPr>
        <w:widowControl/>
        <w:jc w:val="both"/>
        <w:rPr>
          <w:rFonts w:cstheme="minorHAnsi"/>
          <w:sz w:val="20"/>
          <w:szCs w:val="20"/>
          <w:lang w:val="en-GB"/>
        </w:rPr>
      </w:pPr>
      <w:r>
        <w:rPr>
          <w:rStyle w:val="FootnoteReference"/>
        </w:rPr>
        <w:footnoteRef/>
      </w:r>
      <w:r>
        <w:t xml:space="preserve"> </w:t>
      </w:r>
      <w:r w:rsidRPr="00B40A94" w:rsidR="0029597E">
        <w:rPr>
          <w:rFonts w:cstheme="minorHAnsi"/>
          <w:sz w:val="18"/>
          <w:szCs w:val="18"/>
          <w:lang w:val="en-GB"/>
        </w:rPr>
        <w:t xml:space="preserve">National Pregnancy in Diabetes Audit Report 2020 - NDRS (digital.nhs.uk) </w:t>
      </w:r>
    </w:p>
  </w:footnote>
  <w:footnote w:id="5">
    <w:p w:rsidRPr="00C514DD" w:rsidR="00BE67BE" w:rsidP="00BE67BE" w:rsidRDefault="00BE67BE" w14:paraId="7D7126BF" w14:textId="1236DC2C">
      <w:pPr>
        <w:widowControl/>
        <w:jc w:val="both"/>
        <w:rPr>
          <w:rStyle w:val="FootnoteReference"/>
          <w:sz w:val="20"/>
          <w:szCs w:val="20"/>
          <w:vertAlign w:val="baseline"/>
        </w:rPr>
      </w:pPr>
      <w:r w:rsidRPr="002E176B">
        <w:rPr>
          <w:rStyle w:val="FootnoteReference"/>
          <w:sz w:val="20"/>
          <w:szCs w:val="20"/>
        </w:rPr>
        <w:footnoteRef/>
      </w:r>
      <w:r w:rsidRPr="002E176B">
        <w:rPr>
          <w:rStyle w:val="FootnoteReference"/>
          <w:sz w:val="20"/>
          <w:szCs w:val="20"/>
        </w:rPr>
        <w:t xml:space="preserve"> </w:t>
      </w:r>
      <w:r w:rsidR="00EC336D">
        <w:rPr>
          <w:rStyle w:val="FootnoteReference"/>
          <w:sz w:val="18"/>
          <w:szCs w:val="18"/>
          <w:vertAlign w:val="baseline"/>
        </w:rPr>
        <w:t xml:space="preserve"> T</w:t>
      </w:r>
      <w:r w:rsidRPr="00B40A94">
        <w:rPr>
          <w:rStyle w:val="FootnoteReference"/>
          <w:sz w:val="18"/>
          <w:szCs w:val="18"/>
          <w:vertAlign w:val="baseline"/>
        </w:rPr>
        <w:t xml:space="preserve">he specification and other supporting material uses the terms 'woman' or 'mother' throughout. These should be taken to include people who do not identify as women but who are pregnant. </w:t>
      </w:r>
    </w:p>
    <w:p w:rsidRPr="00695495" w:rsidR="00BE67BE" w:rsidP="00695495" w:rsidRDefault="00BE67BE" w14:paraId="78E863EC" w14:textId="77777777">
      <w:pPr>
        <w:widowControl/>
        <w:jc w:val="both"/>
        <w:rPr>
          <w:rStyle w:val="FootnoteReference"/>
        </w:rPr>
      </w:pPr>
    </w:p>
  </w:footnote>
  <w:footnote w:id="6">
    <w:p w:rsidRPr="008860D2" w:rsidR="00BD741A" w:rsidP="00695495" w:rsidRDefault="00BD741A" w14:paraId="481B3613" w14:textId="77777777">
      <w:pPr>
        <w:widowControl/>
        <w:jc w:val="both"/>
        <w:rPr>
          <w:lang w:val="en-GB"/>
        </w:rPr>
      </w:pPr>
      <w:r>
        <w:rPr>
          <w:rStyle w:val="FootnoteReference"/>
        </w:rPr>
        <w:footnoteRef/>
      </w:r>
      <w:r w:rsidRPr="00695495">
        <w:rPr>
          <w:rStyle w:val="FootnoteReference"/>
        </w:rPr>
        <w:t xml:space="preserve"> </w:t>
      </w:r>
      <w:r w:rsidRPr="00B40A94">
        <w:rPr>
          <w:rStyle w:val="FootnoteReference"/>
          <w:sz w:val="18"/>
          <w:szCs w:val="18"/>
          <w:vertAlign w:val="baseline"/>
        </w:rPr>
        <w:t>A small number of specialised services are commissioned nationally by NHS England directly as part of NHS England’s specialised commissioning role. These services include islet cell transplantation, pancreas transplantation, insulin-resistant diabetes, congenital hyperinsulinism, Alstrom Syndrome, Bardet-Biedl Syndromes and Wolfram Syndrome, and are delivered by tertiary centres that specialise in these specific conditions. Service specifications for these specialised services will not be covered here, but are included in the work streams of the Diabetes Specialised Commissioning Clinical Reference Group at NHS England.</w:t>
      </w:r>
    </w:p>
  </w:footnote>
  <w:footnote w:id="7">
    <w:p w:rsidRPr="00000181" w:rsidR="00000181" w:rsidRDefault="00000181" w14:paraId="3B469AC2" w14:textId="6DF182EB">
      <w:pPr>
        <w:pStyle w:val="FootnoteText"/>
        <w:rPr>
          <w:lang w:val="en-GB"/>
        </w:rPr>
      </w:pPr>
      <w:r>
        <w:rPr>
          <w:rStyle w:val="FootnoteReference"/>
        </w:rPr>
        <w:footnoteRef/>
      </w:r>
      <w:r>
        <w:t xml:space="preserve"> </w:t>
      </w:r>
      <w:r>
        <w:rPr>
          <w:lang w:val="en-GB"/>
        </w:rPr>
        <w:t>And any updates to the guidance during the lifetime of the service</w:t>
      </w:r>
    </w:p>
  </w:footnote>
  <w:footnote w:id="8">
    <w:p w:rsidRPr="00A02D5C" w:rsidR="00545F92" w:rsidRDefault="00545F92" w14:paraId="54672FC5" w14:textId="3C29C86E">
      <w:pPr>
        <w:pStyle w:val="FootnoteText"/>
        <w:rPr>
          <w:lang w:val="en-GB"/>
        </w:rPr>
      </w:pPr>
      <w:r w:rsidRPr="000F52AE">
        <w:rPr>
          <w:rStyle w:val="FootnoteReference"/>
        </w:rPr>
        <w:footnoteRef/>
      </w:r>
      <w:r w:rsidRPr="000F52AE">
        <w:t xml:space="preserve"> For completion of all 8 care processes - 22.8% of 19–25-year-olds and 33.6% of 26–39-year-olds compared to 46.6% and 58.5% of 40-59- and 60–79-year-olds respectively; for HbA1c ≤ 58 mmol/mol - 51.6% of 19-25 year olds and 54.5% of 26-39 year olds compared to 57.1% and 68.4% of 40-59 and 60-79 year olds respectively - National Diabetes Audit, Young People with Type 2 Diabetes, 2019-20</w:t>
      </w:r>
    </w:p>
  </w:footnote>
  <w:footnote w:id="9">
    <w:p w:rsidRPr="00A02D5C" w:rsidR="00CF291D" w:rsidRDefault="00CF291D" w14:paraId="07953DBF" w14:textId="2AF7805F">
      <w:pPr>
        <w:pStyle w:val="FootnoteText"/>
        <w:rPr>
          <w:lang w:val="en-GB"/>
        </w:rPr>
      </w:pPr>
      <w:r w:rsidRPr="000F52AE">
        <w:rPr>
          <w:rStyle w:val="FootnoteReference"/>
        </w:rPr>
        <w:footnoteRef/>
      </w:r>
      <w:r w:rsidRPr="000F52AE">
        <w:t xml:space="preserve"> </w:t>
      </w:r>
      <w:r w:rsidRPr="000F52AE" w:rsidR="000F52AE">
        <w:t>Defined as achieving HbA1c target of &lt; 48 mmol/mol, taking 5mg folic acid and avoiding potentially teratogenic medications.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6DB"/>
    <w:multiLevelType w:val="hybridMultilevel"/>
    <w:tmpl w:val="AFF00490"/>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CC6EA3"/>
    <w:multiLevelType w:val="hybridMultilevel"/>
    <w:tmpl w:val="6CCEA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38705E"/>
    <w:multiLevelType w:val="hybridMultilevel"/>
    <w:tmpl w:val="3A4CC1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23530A9"/>
    <w:multiLevelType w:val="hybridMultilevel"/>
    <w:tmpl w:val="141CEE46"/>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E55A69"/>
    <w:multiLevelType w:val="hybridMultilevel"/>
    <w:tmpl w:val="52F602EA"/>
    <w:lvl w:ilvl="0" w:tplc="403A477E">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b/>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03521"/>
    <w:multiLevelType w:val="hybridMultilevel"/>
    <w:tmpl w:val="2B1677AE"/>
    <w:lvl w:ilvl="0" w:tplc="08090001">
      <w:start w:val="1"/>
      <w:numFmt w:val="bullet"/>
      <w:lvlText w:val=""/>
      <w:lvlJc w:val="left"/>
      <w:pPr>
        <w:ind w:left="720" w:hanging="360"/>
      </w:pPr>
      <w:rPr>
        <w:rFonts w:hint="default" w:ascii="Symbol" w:hAnsi="Symbo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80173"/>
    <w:multiLevelType w:val="hybridMultilevel"/>
    <w:tmpl w:val="38C6910C"/>
    <w:lvl w:ilvl="0" w:tplc="08090001">
      <w:start w:val="1"/>
      <w:numFmt w:val="bullet"/>
      <w:lvlText w:val=""/>
      <w:lvlJc w:val="left"/>
      <w:pPr>
        <w:ind w:left="720" w:hanging="360"/>
      </w:pPr>
      <w:rPr>
        <w:rFonts w:hint="default" w:ascii="Symbol" w:hAnsi="Symbol"/>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64169"/>
    <w:multiLevelType w:val="hybridMultilevel"/>
    <w:tmpl w:val="8AB234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925EC6"/>
    <w:multiLevelType w:val="multilevel"/>
    <w:tmpl w:val="30C2E7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FB7DBC"/>
    <w:multiLevelType w:val="hybridMultilevel"/>
    <w:tmpl w:val="318E5A68"/>
    <w:lvl w:ilvl="0" w:tplc="3AC29E5C">
      <w:start w:val="1"/>
      <w:numFmt w:val="bullet"/>
      <w:lvlText w:val="•"/>
      <w:lvlJc w:val="left"/>
      <w:pPr>
        <w:ind w:left="720" w:hanging="360"/>
      </w:pPr>
      <w:rPr>
        <w:rFonts w:hint="default" w:ascii="Arial" w:hAnsi="Aria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134C26"/>
    <w:multiLevelType w:val="hybridMultilevel"/>
    <w:tmpl w:val="473E8BBC"/>
    <w:lvl w:ilvl="0" w:tplc="3AC29E5C">
      <w:start w:val="1"/>
      <w:numFmt w:val="bullet"/>
      <w:lvlText w:val="•"/>
      <w:lvlJc w:val="left"/>
      <w:pPr>
        <w:tabs>
          <w:tab w:val="num" w:pos="1080"/>
        </w:tabs>
        <w:ind w:left="108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5831E3"/>
    <w:multiLevelType w:val="hybridMultilevel"/>
    <w:tmpl w:val="BBD2D822"/>
    <w:lvl w:ilvl="0" w:tplc="3AC29E5C">
      <w:start w:val="1"/>
      <w:numFmt w:val="bullet"/>
      <w:lvlText w:val="•"/>
      <w:lvlJc w:val="left"/>
      <w:pPr>
        <w:ind w:left="720" w:hanging="360"/>
      </w:pPr>
      <w:rPr>
        <w:rFonts w:hint="default" w:ascii="Arial" w:hAnsi="Aria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EC5695"/>
    <w:multiLevelType w:val="hybridMultilevel"/>
    <w:tmpl w:val="A544BEC6"/>
    <w:lvl w:ilvl="0" w:tplc="3AC29E5C">
      <w:start w:val="1"/>
      <w:numFmt w:val="bullet"/>
      <w:lvlText w:val="•"/>
      <w:lvlJc w:val="left"/>
      <w:pPr>
        <w:tabs>
          <w:tab w:val="num" w:pos="1080"/>
        </w:tabs>
        <w:ind w:left="1080" w:hanging="360"/>
      </w:pPr>
      <w:rPr>
        <w:rFonts w:hint="default" w:ascii="Arial" w:hAnsi="Arial"/>
      </w:rPr>
    </w:lvl>
    <w:lvl w:ilvl="1" w:tplc="AA76E662" w:tentative="1">
      <w:start w:val="1"/>
      <w:numFmt w:val="bullet"/>
      <w:lvlText w:val="•"/>
      <w:lvlJc w:val="left"/>
      <w:pPr>
        <w:tabs>
          <w:tab w:val="num" w:pos="1800"/>
        </w:tabs>
        <w:ind w:left="1800" w:hanging="360"/>
      </w:pPr>
      <w:rPr>
        <w:rFonts w:hint="default" w:ascii="Arial" w:hAnsi="Arial"/>
      </w:rPr>
    </w:lvl>
    <w:lvl w:ilvl="2" w:tplc="CA48AFD4" w:tentative="1">
      <w:start w:val="1"/>
      <w:numFmt w:val="bullet"/>
      <w:lvlText w:val="•"/>
      <w:lvlJc w:val="left"/>
      <w:pPr>
        <w:tabs>
          <w:tab w:val="num" w:pos="2520"/>
        </w:tabs>
        <w:ind w:left="2520" w:hanging="360"/>
      </w:pPr>
      <w:rPr>
        <w:rFonts w:hint="default" w:ascii="Arial" w:hAnsi="Arial"/>
      </w:rPr>
    </w:lvl>
    <w:lvl w:ilvl="3" w:tplc="EEFCBE60" w:tentative="1">
      <w:start w:val="1"/>
      <w:numFmt w:val="bullet"/>
      <w:lvlText w:val="•"/>
      <w:lvlJc w:val="left"/>
      <w:pPr>
        <w:tabs>
          <w:tab w:val="num" w:pos="3240"/>
        </w:tabs>
        <w:ind w:left="3240" w:hanging="360"/>
      </w:pPr>
      <w:rPr>
        <w:rFonts w:hint="default" w:ascii="Arial" w:hAnsi="Arial"/>
      </w:rPr>
    </w:lvl>
    <w:lvl w:ilvl="4" w:tplc="E0407D20" w:tentative="1">
      <w:start w:val="1"/>
      <w:numFmt w:val="bullet"/>
      <w:lvlText w:val="•"/>
      <w:lvlJc w:val="left"/>
      <w:pPr>
        <w:tabs>
          <w:tab w:val="num" w:pos="3960"/>
        </w:tabs>
        <w:ind w:left="3960" w:hanging="360"/>
      </w:pPr>
      <w:rPr>
        <w:rFonts w:hint="default" w:ascii="Arial" w:hAnsi="Arial"/>
      </w:rPr>
    </w:lvl>
    <w:lvl w:ilvl="5" w:tplc="D464810C" w:tentative="1">
      <w:start w:val="1"/>
      <w:numFmt w:val="bullet"/>
      <w:lvlText w:val="•"/>
      <w:lvlJc w:val="left"/>
      <w:pPr>
        <w:tabs>
          <w:tab w:val="num" w:pos="4680"/>
        </w:tabs>
        <w:ind w:left="4680" w:hanging="360"/>
      </w:pPr>
      <w:rPr>
        <w:rFonts w:hint="default" w:ascii="Arial" w:hAnsi="Arial"/>
      </w:rPr>
    </w:lvl>
    <w:lvl w:ilvl="6" w:tplc="207CA80A" w:tentative="1">
      <w:start w:val="1"/>
      <w:numFmt w:val="bullet"/>
      <w:lvlText w:val="•"/>
      <w:lvlJc w:val="left"/>
      <w:pPr>
        <w:tabs>
          <w:tab w:val="num" w:pos="5400"/>
        </w:tabs>
        <w:ind w:left="5400" w:hanging="360"/>
      </w:pPr>
      <w:rPr>
        <w:rFonts w:hint="default" w:ascii="Arial" w:hAnsi="Arial"/>
      </w:rPr>
    </w:lvl>
    <w:lvl w:ilvl="7" w:tplc="336AE72E" w:tentative="1">
      <w:start w:val="1"/>
      <w:numFmt w:val="bullet"/>
      <w:lvlText w:val="•"/>
      <w:lvlJc w:val="left"/>
      <w:pPr>
        <w:tabs>
          <w:tab w:val="num" w:pos="6120"/>
        </w:tabs>
        <w:ind w:left="6120" w:hanging="360"/>
      </w:pPr>
      <w:rPr>
        <w:rFonts w:hint="default" w:ascii="Arial" w:hAnsi="Arial"/>
      </w:rPr>
    </w:lvl>
    <w:lvl w:ilvl="8" w:tplc="929CD892" w:tentative="1">
      <w:start w:val="1"/>
      <w:numFmt w:val="bullet"/>
      <w:lvlText w:val="•"/>
      <w:lvlJc w:val="left"/>
      <w:pPr>
        <w:tabs>
          <w:tab w:val="num" w:pos="6840"/>
        </w:tabs>
        <w:ind w:left="6840" w:hanging="360"/>
      </w:pPr>
      <w:rPr>
        <w:rFonts w:hint="default" w:ascii="Arial" w:hAnsi="Arial"/>
      </w:rPr>
    </w:lvl>
  </w:abstractNum>
  <w:abstractNum w:abstractNumId="13" w15:restartNumberingAfterBreak="0">
    <w:nsid w:val="25584EF5"/>
    <w:multiLevelType w:val="hybridMultilevel"/>
    <w:tmpl w:val="7D48CA16"/>
    <w:lvl w:ilvl="0" w:tplc="3AC29E5C">
      <w:start w:val="1"/>
      <w:numFmt w:val="bullet"/>
      <w:lvlText w:val="•"/>
      <w:lvlJc w:val="left"/>
      <w:pPr>
        <w:ind w:left="720" w:hanging="360"/>
      </w:pPr>
      <w:rPr>
        <w:rFonts w:hint="default" w:ascii="Arial" w:hAnsi="Aria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6805C6"/>
    <w:multiLevelType w:val="hybridMultilevel"/>
    <w:tmpl w:val="6890D1E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7F673F"/>
    <w:multiLevelType w:val="hybridMultilevel"/>
    <w:tmpl w:val="5FBC2BB6"/>
    <w:lvl w:ilvl="0" w:tplc="231C75D6">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8AD2F00"/>
    <w:multiLevelType w:val="hybridMultilevel"/>
    <w:tmpl w:val="A7004EAA"/>
    <w:lvl w:ilvl="0" w:tplc="8DBA8504">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F1546E"/>
    <w:multiLevelType w:val="hybridMultilevel"/>
    <w:tmpl w:val="A4A4D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B37124"/>
    <w:multiLevelType w:val="hybridMultilevel"/>
    <w:tmpl w:val="92F2B4F4"/>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362251"/>
    <w:multiLevelType w:val="hybridMultilevel"/>
    <w:tmpl w:val="5DC000C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B5E5F6D"/>
    <w:multiLevelType w:val="hybridMultilevel"/>
    <w:tmpl w:val="C764E1E0"/>
    <w:lvl w:ilvl="0" w:tplc="08090001">
      <w:start w:val="1"/>
      <w:numFmt w:val="bullet"/>
      <w:lvlText w:val=""/>
      <w:lvlJc w:val="left"/>
      <w:pPr>
        <w:ind w:left="720" w:hanging="360"/>
      </w:pPr>
      <w:rPr>
        <w:rFonts w:hint="default" w:ascii="Symbol" w:hAnsi="Symbo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C70AFB"/>
    <w:multiLevelType w:val="hybridMultilevel"/>
    <w:tmpl w:val="ECEA8366"/>
    <w:lvl w:ilvl="0" w:tplc="8DBA8504">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DF36EA6"/>
    <w:multiLevelType w:val="hybridMultilevel"/>
    <w:tmpl w:val="6D969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F2F58BF"/>
    <w:multiLevelType w:val="hybridMultilevel"/>
    <w:tmpl w:val="DCE26CAC"/>
    <w:lvl w:ilvl="0" w:tplc="91B67C38">
      <w:start w:val="4"/>
      <w:numFmt w:val="decimal"/>
      <w:pStyle w:val="Heading4"/>
      <w:lvlText w:val="%1.1.1"/>
      <w:lvlJc w:val="left"/>
      <w:pPr>
        <w:tabs>
          <w:tab w:val="num" w:pos="964"/>
        </w:tabs>
        <w:ind w:left="964" w:hanging="60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2A6BF6"/>
    <w:multiLevelType w:val="hybridMultilevel"/>
    <w:tmpl w:val="AB50B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4111B6"/>
    <w:multiLevelType w:val="hybridMultilevel"/>
    <w:tmpl w:val="5BFEB3A4"/>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39B0926"/>
    <w:multiLevelType w:val="hybridMultilevel"/>
    <w:tmpl w:val="5540C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5DD18C9"/>
    <w:multiLevelType w:val="hybridMultilevel"/>
    <w:tmpl w:val="F25C656A"/>
    <w:lvl w:ilvl="0" w:tplc="08090001">
      <w:start w:val="1"/>
      <w:numFmt w:val="bullet"/>
      <w:lvlText w:val=""/>
      <w:lvlJc w:val="left"/>
      <w:pPr>
        <w:ind w:left="720" w:hanging="360"/>
      </w:pPr>
      <w:rPr>
        <w:rFonts w:hint="default" w:ascii="Symbol" w:hAnsi="Symbo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277771"/>
    <w:multiLevelType w:val="hybridMultilevel"/>
    <w:tmpl w:val="088C2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96F127D"/>
    <w:multiLevelType w:val="hybridMultilevel"/>
    <w:tmpl w:val="D640F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9F80DD1"/>
    <w:multiLevelType w:val="hybridMultilevel"/>
    <w:tmpl w:val="7B2606C4"/>
    <w:lvl w:ilvl="0" w:tplc="08090001">
      <w:start w:val="1"/>
      <w:numFmt w:val="bullet"/>
      <w:lvlText w:val=""/>
      <w:lvlJc w:val="left"/>
      <w:pPr>
        <w:ind w:left="1080" w:hanging="360"/>
      </w:pPr>
      <w:rPr>
        <w:rFonts w:hint="default" w:ascii="Symbol" w:hAnsi="Symbol"/>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A7604B3"/>
    <w:multiLevelType w:val="hybridMultilevel"/>
    <w:tmpl w:val="F1666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AC01742"/>
    <w:multiLevelType w:val="hybridMultilevel"/>
    <w:tmpl w:val="C2DE6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D9F3A16"/>
    <w:multiLevelType w:val="hybridMultilevel"/>
    <w:tmpl w:val="98686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DFC302F"/>
    <w:multiLevelType w:val="hybridMultilevel"/>
    <w:tmpl w:val="7B4C7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1A4E8B"/>
    <w:multiLevelType w:val="hybridMultilevel"/>
    <w:tmpl w:val="CBA4E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5550881"/>
    <w:multiLevelType w:val="hybridMultilevel"/>
    <w:tmpl w:val="D01C7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55F1927"/>
    <w:multiLevelType w:val="hybridMultilevel"/>
    <w:tmpl w:val="31F2569C"/>
    <w:lvl w:ilvl="0" w:tplc="9D16D4B8">
      <w:start w:val="1"/>
      <w:numFmt w:val="bullet"/>
      <w:pStyle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482C70B4"/>
    <w:multiLevelType w:val="hybridMultilevel"/>
    <w:tmpl w:val="4C1648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A4C16F0"/>
    <w:multiLevelType w:val="hybridMultilevel"/>
    <w:tmpl w:val="24A88FF8"/>
    <w:lvl w:ilvl="0" w:tplc="88EE9C2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A7532A7"/>
    <w:multiLevelType w:val="hybridMultilevel"/>
    <w:tmpl w:val="54BE6982"/>
    <w:lvl w:ilvl="0" w:tplc="3AC29E5C">
      <w:start w:val="1"/>
      <w:numFmt w:val="bullet"/>
      <w:lvlText w:val="•"/>
      <w:lvlJc w:val="left"/>
      <w:pPr>
        <w:ind w:left="720" w:hanging="360"/>
      </w:pPr>
      <w:rPr>
        <w:rFonts w:hint="default" w:ascii="Arial" w:hAnsi="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CFA4E57"/>
    <w:multiLevelType w:val="hybridMultilevel"/>
    <w:tmpl w:val="F528C8F6"/>
    <w:lvl w:ilvl="0" w:tplc="0ADCE3C6">
      <w:start w:val="1"/>
      <w:numFmt w:val="low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3C5220"/>
    <w:multiLevelType w:val="hybridMultilevel"/>
    <w:tmpl w:val="D4F683CA"/>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A117F53"/>
    <w:multiLevelType w:val="hybridMultilevel"/>
    <w:tmpl w:val="E47A98F6"/>
    <w:lvl w:ilvl="0" w:tplc="3AC29E5C">
      <w:start w:val="1"/>
      <w:numFmt w:val="bullet"/>
      <w:lvlText w:val="•"/>
      <w:lvlJc w:val="left"/>
      <w:pPr>
        <w:tabs>
          <w:tab w:val="num" w:pos="720"/>
        </w:tabs>
        <w:ind w:left="720" w:hanging="360"/>
      </w:pPr>
      <w:rPr>
        <w:rFonts w:hint="default" w:ascii="Arial" w:hAnsi="Aria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5A831746"/>
    <w:multiLevelType w:val="hybridMultilevel"/>
    <w:tmpl w:val="02700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C2374D7"/>
    <w:multiLevelType w:val="hybridMultilevel"/>
    <w:tmpl w:val="85D823C6"/>
    <w:lvl w:ilvl="0" w:tplc="8DBA8504">
      <w:start w:val="3"/>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D1D7AFA"/>
    <w:multiLevelType w:val="hybridMultilevel"/>
    <w:tmpl w:val="1DA818DA"/>
    <w:lvl w:ilvl="0" w:tplc="3AC29E5C">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D3D2986"/>
    <w:multiLevelType w:val="hybridMultilevel"/>
    <w:tmpl w:val="4B9C13A6"/>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DAB232D"/>
    <w:multiLevelType w:val="hybridMultilevel"/>
    <w:tmpl w:val="7938D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FC12AAB"/>
    <w:multiLevelType w:val="hybridMultilevel"/>
    <w:tmpl w:val="51BE69F8"/>
    <w:lvl w:ilvl="0" w:tplc="3AC29E5C">
      <w:start w:val="1"/>
      <w:numFmt w:val="bullet"/>
      <w:lvlText w:val="•"/>
      <w:lvlJc w:val="left"/>
      <w:pPr>
        <w:tabs>
          <w:tab w:val="num" w:pos="1440"/>
        </w:tabs>
        <w:ind w:left="144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0" w15:restartNumberingAfterBreak="0">
    <w:nsid w:val="60944FA5"/>
    <w:multiLevelType w:val="hybridMultilevel"/>
    <w:tmpl w:val="4AD8A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1CA3B10"/>
    <w:multiLevelType w:val="multilevel"/>
    <w:tmpl w:val="A72E154A"/>
    <w:lvl w:ilvl="0">
      <w:start w:val="1"/>
      <w:numFmt w:val="decimal"/>
      <w:lvlText w:val="%1."/>
      <w:lvlJc w:val="left"/>
      <w:pPr>
        <w:ind w:left="3621" w:hanging="360"/>
      </w:pPr>
      <w:rPr>
        <w:rFonts w:hint="default" w:eastAsiaTheme="minorHAnsi" w:cstheme="minorBidi"/>
        <w:b/>
        <w:color w:val="FFFFFF" w:themeColor="background1"/>
      </w:rPr>
    </w:lvl>
    <w:lvl w:ilvl="1">
      <w:start w:val="2"/>
      <w:numFmt w:val="decimal"/>
      <w:isLgl/>
      <w:lvlText w:val="%1.%2"/>
      <w:lvlJc w:val="left"/>
      <w:pPr>
        <w:ind w:left="3621" w:hanging="360"/>
      </w:pPr>
      <w:rPr>
        <w:rFonts w:hint="default"/>
        <w:b/>
        <w:color w:val="009966"/>
      </w:rPr>
    </w:lvl>
    <w:lvl w:ilvl="2">
      <w:start w:val="1"/>
      <w:numFmt w:val="decimal"/>
      <w:isLgl/>
      <w:lvlText w:val="%1.%2.%3"/>
      <w:lvlJc w:val="left"/>
      <w:pPr>
        <w:ind w:left="3981" w:hanging="720"/>
      </w:pPr>
      <w:rPr>
        <w:rFonts w:hint="default"/>
        <w:b/>
        <w:color w:val="009966"/>
      </w:rPr>
    </w:lvl>
    <w:lvl w:ilvl="3">
      <w:start w:val="1"/>
      <w:numFmt w:val="decimal"/>
      <w:isLgl/>
      <w:lvlText w:val="%1.%2.%3.%4"/>
      <w:lvlJc w:val="left"/>
      <w:pPr>
        <w:ind w:left="3981" w:hanging="720"/>
      </w:pPr>
      <w:rPr>
        <w:rFonts w:hint="default"/>
        <w:b/>
        <w:color w:val="009966"/>
      </w:rPr>
    </w:lvl>
    <w:lvl w:ilvl="4">
      <w:start w:val="1"/>
      <w:numFmt w:val="decimal"/>
      <w:isLgl/>
      <w:lvlText w:val="%1.%2.%3.%4.%5"/>
      <w:lvlJc w:val="left"/>
      <w:pPr>
        <w:ind w:left="4341" w:hanging="1080"/>
      </w:pPr>
      <w:rPr>
        <w:rFonts w:hint="default"/>
        <w:b/>
        <w:color w:val="009966"/>
      </w:rPr>
    </w:lvl>
    <w:lvl w:ilvl="5">
      <w:start w:val="1"/>
      <w:numFmt w:val="decimal"/>
      <w:isLgl/>
      <w:lvlText w:val="%1.%2.%3.%4.%5.%6"/>
      <w:lvlJc w:val="left"/>
      <w:pPr>
        <w:ind w:left="4341" w:hanging="1080"/>
      </w:pPr>
      <w:rPr>
        <w:rFonts w:hint="default"/>
        <w:b/>
        <w:color w:val="009966"/>
      </w:rPr>
    </w:lvl>
    <w:lvl w:ilvl="6">
      <w:start w:val="1"/>
      <w:numFmt w:val="decimal"/>
      <w:isLgl/>
      <w:lvlText w:val="%1.%2.%3.%4.%5.%6.%7"/>
      <w:lvlJc w:val="left"/>
      <w:pPr>
        <w:ind w:left="4701" w:hanging="1440"/>
      </w:pPr>
      <w:rPr>
        <w:rFonts w:hint="default"/>
        <w:b/>
        <w:color w:val="009966"/>
      </w:rPr>
    </w:lvl>
    <w:lvl w:ilvl="7">
      <w:start w:val="1"/>
      <w:numFmt w:val="decimal"/>
      <w:isLgl/>
      <w:lvlText w:val="%1.%2.%3.%4.%5.%6.%7.%8"/>
      <w:lvlJc w:val="left"/>
      <w:pPr>
        <w:ind w:left="4701" w:hanging="1440"/>
      </w:pPr>
      <w:rPr>
        <w:rFonts w:hint="default"/>
        <w:b/>
        <w:color w:val="009966"/>
      </w:rPr>
    </w:lvl>
    <w:lvl w:ilvl="8">
      <w:start w:val="1"/>
      <w:numFmt w:val="decimal"/>
      <w:isLgl/>
      <w:lvlText w:val="%1.%2.%3.%4.%5.%6.%7.%8.%9"/>
      <w:lvlJc w:val="left"/>
      <w:pPr>
        <w:ind w:left="5061" w:hanging="1800"/>
      </w:pPr>
      <w:rPr>
        <w:rFonts w:hint="default"/>
        <w:b/>
        <w:color w:val="009966"/>
      </w:rPr>
    </w:lvl>
  </w:abstractNum>
  <w:abstractNum w:abstractNumId="52" w15:restartNumberingAfterBreak="0">
    <w:nsid w:val="61D03A32"/>
    <w:multiLevelType w:val="hybridMultilevel"/>
    <w:tmpl w:val="60143F1E"/>
    <w:lvl w:ilvl="0" w:tplc="3AC29E5C">
      <w:start w:val="1"/>
      <w:numFmt w:val="bullet"/>
      <w:lvlText w:val="•"/>
      <w:lvlJc w:val="left"/>
      <w:pPr>
        <w:ind w:left="720" w:hanging="360"/>
      </w:pPr>
      <w:rPr>
        <w:rFonts w:hint="default" w:ascii="Arial" w:hAnsi="Aria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323BD8"/>
    <w:multiLevelType w:val="hybridMultilevel"/>
    <w:tmpl w:val="26EC6E6E"/>
    <w:lvl w:ilvl="0" w:tplc="9BEC4D84">
      <w:start w:val="1"/>
      <w:numFmt w:val="bullet"/>
      <w:lvlText w:val="-"/>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4" w15:restartNumberingAfterBreak="0">
    <w:nsid w:val="64974D45"/>
    <w:multiLevelType w:val="hybridMultilevel"/>
    <w:tmpl w:val="A5F2B80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4FF5F09"/>
    <w:multiLevelType w:val="hybridMultilevel"/>
    <w:tmpl w:val="428202B4"/>
    <w:lvl w:ilvl="0" w:tplc="3AC29E5C">
      <w:start w:val="1"/>
      <w:numFmt w:val="bullet"/>
      <w:lvlText w:val="•"/>
      <w:lvlJc w:val="left"/>
      <w:pPr>
        <w:tabs>
          <w:tab w:val="num" w:pos="360"/>
        </w:tabs>
        <w:ind w:left="360" w:hanging="360"/>
      </w:pPr>
      <w:rPr>
        <w:rFonts w:hint="default" w:ascii="Arial" w:hAnsi="Aria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56" w15:restartNumberingAfterBreak="0">
    <w:nsid w:val="668252F5"/>
    <w:multiLevelType w:val="hybridMultilevel"/>
    <w:tmpl w:val="AE5A1D42"/>
    <w:lvl w:ilvl="0" w:tplc="231C75D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925002E"/>
    <w:multiLevelType w:val="hybridMultilevel"/>
    <w:tmpl w:val="3D7C0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AA5073C"/>
    <w:multiLevelType w:val="hybridMultilevel"/>
    <w:tmpl w:val="ECC27C30"/>
    <w:lvl w:ilvl="0" w:tplc="3AC29E5C">
      <w:start w:val="1"/>
      <w:numFmt w:val="bullet"/>
      <w:lvlText w:val="•"/>
      <w:lvlJc w:val="left"/>
      <w:pPr>
        <w:ind w:left="720" w:hanging="360"/>
      </w:pPr>
      <w:rPr>
        <w:rFonts w:hint="default" w:ascii="Arial" w:hAnsi="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9550E0"/>
    <w:multiLevelType w:val="hybridMultilevel"/>
    <w:tmpl w:val="D33C5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F6B31BC"/>
    <w:multiLevelType w:val="hybridMultilevel"/>
    <w:tmpl w:val="845C55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23361DA"/>
    <w:multiLevelType w:val="hybridMultilevel"/>
    <w:tmpl w:val="62445F88"/>
    <w:lvl w:ilvl="0" w:tplc="8DBA8504">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6E218CB"/>
    <w:multiLevelType w:val="hybridMultilevel"/>
    <w:tmpl w:val="B498A4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7BA1179B"/>
    <w:multiLevelType w:val="hybridMultilevel"/>
    <w:tmpl w:val="75FA7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BE97AEB"/>
    <w:multiLevelType w:val="hybridMultilevel"/>
    <w:tmpl w:val="B8B45B74"/>
    <w:lvl w:ilvl="0" w:tplc="871E08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FA5239A"/>
    <w:multiLevelType w:val="hybridMultilevel"/>
    <w:tmpl w:val="1FA68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FE65D5D"/>
    <w:multiLevelType w:val="hybridMultilevel"/>
    <w:tmpl w:val="E7A08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023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769007">
    <w:abstractNumId w:val="17"/>
  </w:num>
  <w:num w:numId="3" w16cid:durableId="421878348">
    <w:abstractNumId w:val="48"/>
  </w:num>
  <w:num w:numId="4" w16cid:durableId="1907455058">
    <w:abstractNumId w:val="31"/>
  </w:num>
  <w:num w:numId="5" w16cid:durableId="9453883">
    <w:abstractNumId w:val="45"/>
  </w:num>
  <w:num w:numId="6" w16cid:durableId="931856863">
    <w:abstractNumId w:val="38"/>
  </w:num>
  <w:num w:numId="7" w16cid:durableId="615600936">
    <w:abstractNumId w:val="61"/>
  </w:num>
  <w:num w:numId="8" w16cid:durableId="967399864">
    <w:abstractNumId w:val="16"/>
  </w:num>
  <w:num w:numId="9" w16cid:durableId="1596982481">
    <w:abstractNumId w:val="21"/>
  </w:num>
  <w:num w:numId="10" w16cid:durableId="379401675">
    <w:abstractNumId w:val="63"/>
  </w:num>
  <w:num w:numId="11" w16cid:durableId="650401800">
    <w:abstractNumId w:val="12"/>
  </w:num>
  <w:num w:numId="12" w16cid:durableId="1103380637">
    <w:abstractNumId w:val="51"/>
  </w:num>
  <w:num w:numId="13" w16cid:durableId="2060745567">
    <w:abstractNumId w:val="37"/>
  </w:num>
  <w:num w:numId="14" w16cid:durableId="529610258">
    <w:abstractNumId w:val="15"/>
  </w:num>
  <w:num w:numId="15" w16cid:durableId="269170986">
    <w:abstractNumId w:val="0"/>
  </w:num>
  <w:num w:numId="16" w16cid:durableId="1226914673">
    <w:abstractNumId w:val="7"/>
  </w:num>
  <w:num w:numId="17" w16cid:durableId="1355960496">
    <w:abstractNumId w:val="53"/>
  </w:num>
  <w:num w:numId="18" w16cid:durableId="1040936159">
    <w:abstractNumId w:val="25"/>
  </w:num>
  <w:num w:numId="19" w16cid:durableId="869104664">
    <w:abstractNumId w:val="23"/>
  </w:num>
  <w:num w:numId="20" w16cid:durableId="1708986997">
    <w:abstractNumId w:val="42"/>
  </w:num>
  <w:num w:numId="21" w16cid:durableId="1029792629">
    <w:abstractNumId w:val="47"/>
  </w:num>
  <w:num w:numId="22" w16cid:durableId="1158839637">
    <w:abstractNumId w:val="56"/>
  </w:num>
  <w:num w:numId="23" w16cid:durableId="1472092424">
    <w:abstractNumId w:val="18"/>
  </w:num>
  <w:num w:numId="24" w16cid:durableId="1255212720">
    <w:abstractNumId w:val="3"/>
  </w:num>
  <w:num w:numId="25" w16cid:durableId="2021665665">
    <w:abstractNumId w:val="4"/>
  </w:num>
  <w:num w:numId="26" w16cid:durableId="1103107768">
    <w:abstractNumId w:val="19"/>
  </w:num>
  <w:num w:numId="27" w16cid:durableId="796528677">
    <w:abstractNumId w:val="8"/>
  </w:num>
  <w:num w:numId="28" w16cid:durableId="1459226872">
    <w:abstractNumId w:val="24"/>
  </w:num>
  <w:num w:numId="29" w16cid:durableId="1520965766">
    <w:abstractNumId w:val="2"/>
  </w:num>
  <w:num w:numId="30" w16cid:durableId="656694394">
    <w:abstractNumId w:val="62"/>
  </w:num>
  <w:num w:numId="31" w16cid:durableId="981152255">
    <w:abstractNumId w:val="29"/>
  </w:num>
  <w:num w:numId="32" w16cid:durableId="607389207">
    <w:abstractNumId w:val="41"/>
  </w:num>
  <w:num w:numId="33" w16cid:durableId="530918439">
    <w:abstractNumId w:val="65"/>
  </w:num>
  <w:num w:numId="34" w16cid:durableId="1220626582">
    <w:abstractNumId w:val="57"/>
  </w:num>
  <w:num w:numId="35" w16cid:durableId="1554777656">
    <w:abstractNumId w:val="54"/>
  </w:num>
  <w:num w:numId="36" w16cid:durableId="1938320601">
    <w:abstractNumId w:val="1"/>
  </w:num>
  <w:num w:numId="37" w16cid:durableId="832331390">
    <w:abstractNumId w:val="35"/>
  </w:num>
  <w:num w:numId="38" w16cid:durableId="79959215">
    <w:abstractNumId w:val="32"/>
  </w:num>
  <w:num w:numId="39" w16cid:durableId="160854059">
    <w:abstractNumId w:val="50"/>
  </w:num>
  <w:num w:numId="40" w16cid:durableId="869027702">
    <w:abstractNumId w:val="22"/>
  </w:num>
  <w:num w:numId="41" w16cid:durableId="1207330468">
    <w:abstractNumId w:val="66"/>
  </w:num>
  <w:num w:numId="42" w16cid:durableId="325014956">
    <w:abstractNumId w:val="59"/>
  </w:num>
  <w:num w:numId="43" w16cid:durableId="1974477396">
    <w:abstractNumId w:val="26"/>
  </w:num>
  <w:num w:numId="44" w16cid:durableId="712458133">
    <w:abstractNumId w:val="60"/>
  </w:num>
  <w:num w:numId="45" w16cid:durableId="1768647621">
    <w:abstractNumId w:val="14"/>
  </w:num>
  <w:num w:numId="46" w16cid:durableId="1632322680">
    <w:abstractNumId w:val="55"/>
  </w:num>
  <w:num w:numId="47" w16cid:durableId="527451411">
    <w:abstractNumId w:val="10"/>
  </w:num>
  <w:num w:numId="48" w16cid:durableId="1330136557">
    <w:abstractNumId w:val="34"/>
  </w:num>
  <w:num w:numId="49" w16cid:durableId="1461731204">
    <w:abstractNumId w:val="49"/>
  </w:num>
  <w:num w:numId="50" w16cid:durableId="1753117615">
    <w:abstractNumId w:val="46"/>
  </w:num>
  <w:num w:numId="51" w16cid:durableId="808670850">
    <w:abstractNumId w:val="58"/>
  </w:num>
  <w:num w:numId="52" w16cid:durableId="1737363597">
    <w:abstractNumId w:val="40"/>
  </w:num>
  <w:num w:numId="53" w16cid:durableId="797920403">
    <w:abstractNumId w:val="39"/>
  </w:num>
  <w:num w:numId="54" w16cid:durableId="197358825">
    <w:abstractNumId w:val="43"/>
  </w:num>
  <w:num w:numId="55" w16cid:durableId="1683163093">
    <w:abstractNumId w:val="9"/>
  </w:num>
  <w:num w:numId="56" w16cid:durableId="380402348">
    <w:abstractNumId w:val="27"/>
  </w:num>
  <w:num w:numId="57" w16cid:durableId="117333043">
    <w:abstractNumId w:val="11"/>
  </w:num>
  <w:num w:numId="58" w16cid:durableId="2106726484">
    <w:abstractNumId w:val="5"/>
  </w:num>
  <w:num w:numId="59" w16cid:durableId="1151097692">
    <w:abstractNumId w:val="52"/>
  </w:num>
  <w:num w:numId="60" w16cid:durableId="1587306833">
    <w:abstractNumId w:val="13"/>
  </w:num>
  <w:num w:numId="61" w16cid:durableId="382292983">
    <w:abstractNumId w:val="20"/>
  </w:num>
  <w:num w:numId="62" w16cid:durableId="1015885544">
    <w:abstractNumId w:val="64"/>
  </w:num>
  <w:num w:numId="63" w16cid:durableId="720983257">
    <w:abstractNumId w:val="30"/>
  </w:num>
  <w:num w:numId="64" w16cid:durableId="1352954994">
    <w:abstractNumId w:val="6"/>
  </w:num>
  <w:num w:numId="65" w16cid:durableId="1063989216">
    <w:abstractNumId w:val="44"/>
  </w:num>
  <w:num w:numId="66" w16cid:durableId="789282338">
    <w:abstractNumId w:val="36"/>
  </w:num>
  <w:num w:numId="67" w16cid:durableId="781344098">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C7"/>
    <w:rsid w:val="00000181"/>
    <w:rsid w:val="0000121C"/>
    <w:rsid w:val="00001C7B"/>
    <w:rsid w:val="0000513F"/>
    <w:rsid w:val="00005D51"/>
    <w:rsid w:val="00005E6E"/>
    <w:rsid w:val="00010905"/>
    <w:rsid w:val="00016C27"/>
    <w:rsid w:val="000172D1"/>
    <w:rsid w:val="00021549"/>
    <w:rsid w:val="00021B77"/>
    <w:rsid w:val="0002522F"/>
    <w:rsid w:val="00041623"/>
    <w:rsid w:val="000430C2"/>
    <w:rsid w:val="00045E24"/>
    <w:rsid w:val="0005206F"/>
    <w:rsid w:val="00064A58"/>
    <w:rsid w:val="000670DD"/>
    <w:rsid w:val="000679F3"/>
    <w:rsid w:val="00071CDC"/>
    <w:rsid w:val="000720A8"/>
    <w:rsid w:val="00072170"/>
    <w:rsid w:val="00073331"/>
    <w:rsid w:val="00073E79"/>
    <w:rsid w:val="000805C0"/>
    <w:rsid w:val="000839FC"/>
    <w:rsid w:val="000841E8"/>
    <w:rsid w:val="000864DF"/>
    <w:rsid w:val="000866B5"/>
    <w:rsid w:val="00087E9C"/>
    <w:rsid w:val="00092526"/>
    <w:rsid w:val="00093323"/>
    <w:rsid w:val="00093BBC"/>
    <w:rsid w:val="000B0933"/>
    <w:rsid w:val="000B3CF4"/>
    <w:rsid w:val="000B4787"/>
    <w:rsid w:val="000B703D"/>
    <w:rsid w:val="000C0E85"/>
    <w:rsid w:val="000C2C66"/>
    <w:rsid w:val="000C72A9"/>
    <w:rsid w:val="000D5F4F"/>
    <w:rsid w:val="000D76E0"/>
    <w:rsid w:val="000E2B30"/>
    <w:rsid w:val="000E57BC"/>
    <w:rsid w:val="000F022E"/>
    <w:rsid w:val="000F0D2A"/>
    <w:rsid w:val="000F52AE"/>
    <w:rsid w:val="000F58DF"/>
    <w:rsid w:val="000F68A1"/>
    <w:rsid w:val="00100047"/>
    <w:rsid w:val="00104A8D"/>
    <w:rsid w:val="00111A6F"/>
    <w:rsid w:val="00113F79"/>
    <w:rsid w:val="001254BF"/>
    <w:rsid w:val="00125D28"/>
    <w:rsid w:val="0013315D"/>
    <w:rsid w:val="00134704"/>
    <w:rsid w:val="0013757A"/>
    <w:rsid w:val="00142660"/>
    <w:rsid w:val="00150377"/>
    <w:rsid w:val="00151DC8"/>
    <w:rsid w:val="0015283D"/>
    <w:rsid w:val="00153640"/>
    <w:rsid w:val="00156969"/>
    <w:rsid w:val="001639AE"/>
    <w:rsid w:val="001708D6"/>
    <w:rsid w:val="00172E47"/>
    <w:rsid w:val="00175E0F"/>
    <w:rsid w:val="001766B0"/>
    <w:rsid w:val="00182102"/>
    <w:rsid w:val="00185CFD"/>
    <w:rsid w:val="001864BC"/>
    <w:rsid w:val="00187012"/>
    <w:rsid w:val="001968D1"/>
    <w:rsid w:val="001A1995"/>
    <w:rsid w:val="001A1A02"/>
    <w:rsid w:val="001A246B"/>
    <w:rsid w:val="001A368A"/>
    <w:rsid w:val="001A5C10"/>
    <w:rsid w:val="001A7665"/>
    <w:rsid w:val="001B0AD3"/>
    <w:rsid w:val="001B14AB"/>
    <w:rsid w:val="001D10DE"/>
    <w:rsid w:val="001D7841"/>
    <w:rsid w:val="001E34BF"/>
    <w:rsid w:val="001E3AEB"/>
    <w:rsid w:val="001F0BAF"/>
    <w:rsid w:val="001F0BFF"/>
    <w:rsid w:val="001F2A26"/>
    <w:rsid w:val="001F411B"/>
    <w:rsid w:val="001F5906"/>
    <w:rsid w:val="001F75C4"/>
    <w:rsid w:val="00201683"/>
    <w:rsid w:val="00202F1E"/>
    <w:rsid w:val="00203F9F"/>
    <w:rsid w:val="00204F51"/>
    <w:rsid w:val="00206991"/>
    <w:rsid w:val="002178D7"/>
    <w:rsid w:val="00220B21"/>
    <w:rsid w:val="00221E3D"/>
    <w:rsid w:val="002227E1"/>
    <w:rsid w:val="00223253"/>
    <w:rsid w:val="00223829"/>
    <w:rsid w:val="00225F16"/>
    <w:rsid w:val="002311BF"/>
    <w:rsid w:val="00231D1E"/>
    <w:rsid w:val="00240791"/>
    <w:rsid w:val="00241707"/>
    <w:rsid w:val="00243020"/>
    <w:rsid w:val="00243068"/>
    <w:rsid w:val="00243101"/>
    <w:rsid w:val="0024383A"/>
    <w:rsid w:val="0024412A"/>
    <w:rsid w:val="002469A3"/>
    <w:rsid w:val="00254F9D"/>
    <w:rsid w:val="00260B40"/>
    <w:rsid w:val="00262ECE"/>
    <w:rsid w:val="00271CB0"/>
    <w:rsid w:val="00272728"/>
    <w:rsid w:val="00273F2C"/>
    <w:rsid w:val="00274242"/>
    <w:rsid w:val="00277983"/>
    <w:rsid w:val="0028285F"/>
    <w:rsid w:val="002848AC"/>
    <w:rsid w:val="0029597E"/>
    <w:rsid w:val="00296CBB"/>
    <w:rsid w:val="002A0128"/>
    <w:rsid w:val="002A1C3E"/>
    <w:rsid w:val="002A2209"/>
    <w:rsid w:val="002A61DC"/>
    <w:rsid w:val="002B6BBF"/>
    <w:rsid w:val="002B73AF"/>
    <w:rsid w:val="002C0BE1"/>
    <w:rsid w:val="002C1C54"/>
    <w:rsid w:val="002C25FF"/>
    <w:rsid w:val="002C65C4"/>
    <w:rsid w:val="002D03A8"/>
    <w:rsid w:val="002D0B85"/>
    <w:rsid w:val="002D1538"/>
    <w:rsid w:val="002D2C96"/>
    <w:rsid w:val="002D7480"/>
    <w:rsid w:val="002E11CA"/>
    <w:rsid w:val="002E176B"/>
    <w:rsid w:val="002E28BB"/>
    <w:rsid w:val="002F004D"/>
    <w:rsid w:val="002F022C"/>
    <w:rsid w:val="002F1B4B"/>
    <w:rsid w:val="002F59F9"/>
    <w:rsid w:val="002F71BD"/>
    <w:rsid w:val="002F7CCB"/>
    <w:rsid w:val="00301C0C"/>
    <w:rsid w:val="00303B99"/>
    <w:rsid w:val="00307A7B"/>
    <w:rsid w:val="00310D79"/>
    <w:rsid w:val="00324823"/>
    <w:rsid w:val="00334725"/>
    <w:rsid w:val="00334E6B"/>
    <w:rsid w:val="003358E4"/>
    <w:rsid w:val="003421C7"/>
    <w:rsid w:val="00344825"/>
    <w:rsid w:val="003449F8"/>
    <w:rsid w:val="0035021F"/>
    <w:rsid w:val="00364229"/>
    <w:rsid w:val="0036425E"/>
    <w:rsid w:val="003714A6"/>
    <w:rsid w:val="00372CC7"/>
    <w:rsid w:val="00373B55"/>
    <w:rsid w:val="003801D1"/>
    <w:rsid w:val="00382A66"/>
    <w:rsid w:val="00387219"/>
    <w:rsid w:val="00387234"/>
    <w:rsid w:val="003908D7"/>
    <w:rsid w:val="003969EC"/>
    <w:rsid w:val="003C0632"/>
    <w:rsid w:val="003C0984"/>
    <w:rsid w:val="003C3461"/>
    <w:rsid w:val="003C5B93"/>
    <w:rsid w:val="003D1833"/>
    <w:rsid w:val="003D60B6"/>
    <w:rsid w:val="003D6667"/>
    <w:rsid w:val="003E46EB"/>
    <w:rsid w:val="003E4E90"/>
    <w:rsid w:val="003E5778"/>
    <w:rsid w:val="003E7A40"/>
    <w:rsid w:val="003F2E3F"/>
    <w:rsid w:val="003F5DB1"/>
    <w:rsid w:val="003F60EE"/>
    <w:rsid w:val="004110C0"/>
    <w:rsid w:val="00412FF1"/>
    <w:rsid w:val="00422A5F"/>
    <w:rsid w:val="0043348A"/>
    <w:rsid w:val="004369A4"/>
    <w:rsid w:val="0044058C"/>
    <w:rsid w:val="004414FA"/>
    <w:rsid w:val="00441A72"/>
    <w:rsid w:val="00443BBE"/>
    <w:rsid w:val="00445AEC"/>
    <w:rsid w:val="00447392"/>
    <w:rsid w:val="00451237"/>
    <w:rsid w:val="00453A9B"/>
    <w:rsid w:val="00455CB7"/>
    <w:rsid w:val="0045637C"/>
    <w:rsid w:val="0046682A"/>
    <w:rsid w:val="004701D7"/>
    <w:rsid w:val="00483801"/>
    <w:rsid w:val="004914EF"/>
    <w:rsid w:val="00497B49"/>
    <w:rsid w:val="004A71A5"/>
    <w:rsid w:val="004A7443"/>
    <w:rsid w:val="004A74D5"/>
    <w:rsid w:val="004B205E"/>
    <w:rsid w:val="004B2183"/>
    <w:rsid w:val="004B44B6"/>
    <w:rsid w:val="004B5B23"/>
    <w:rsid w:val="004C121C"/>
    <w:rsid w:val="004C1B9F"/>
    <w:rsid w:val="004C2EDB"/>
    <w:rsid w:val="004D247D"/>
    <w:rsid w:val="004D4189"/>
    <w:rsid w:val="004E0BA7"/>
    <w:rsid w:val="004E68F2"/>
    <w:rsid w:val="004F4DA6"/>
    <w:rsid w:val="004F7E7E"/>
    <w:rsid w:val="0050159C"/>
    <w:rsid w:val="00502AF9"/>
    <w:rsid w:val="00504DD5"/>
    <w:rsid w:val="0051156E"/>
    <w:rsid w:val="00514ABE"/>
    <w:rsid w:val="005211DE"/>
    <w:rsid w:val="00522243"/>
    <w:rsid w:val="00523129"/>
    <w:rsid w:val="00524E02"/>
    <w:rsid w:val="005307F6"/>
    <w:rsid w:val="00535844"/>
    <w:rsid w:val="00536D85"/>
    <w:rsid w:val="0054062B"/>
    <w:rsid w:val="005419A5"/>
    <w:rsid w:val="00545085"/>
    <w:rsid w:val="00545F92"/>
    <w:rsid w:val="00546CF9"/>
    <w:rsid w:val="00547A97"/>
    <w:rsid w:val="005512B5"/>
    <w:rsid w:val="005540C4"/>
    <w:rsid w:val="00554D71"/>
    <w:rsid w:val="005559BC"/>
    <w:rsid w:val="00561049"/>
    <w:rsid w:val="00562629"/>
    <w:rsid w:val="00564B52"/>
    <w:rsid w:val="0056599E"/>
    <w:rsid w:val="0056776E"/>
    <w:rsid w:val="0058420A"/>
    <w:rsid w:val="00584883"/>
    <w:rsid w:val="0058709C"/>
    <w:rsid w:val="00587744"/>
    <w:rsid w:val="00594055"/>
    <w:rsid w:val="005A2559"/>
    <w:rsid w:val="005A3515"/>
    <w:rsid w:val="005A7B5F"/>
    <w:rsid w:val="005B0B72"/>
    <w:rsid w:val="005B2C67"/>
    <w:rsid w:val="005B5A7C"/>
    <w:rsid w:val="005C6987"/>
    <w:rsid w:val="005D4A4F"/>
    <w:rsid w:val="005D6495"/>
    <w:rsid w:val="005E4B55"/>
    <w:rsid w:val="005E6327"/>
    <w:rsid w:val="005E74B0"/>
    <w:rsid w:val="005F00D7"/>
    <w:rsid w:val="005F3F7A"/>
    <w:rsid w:val="005F65D2"/>
    <w:rsid w:val="00605103"/>
    <w:rsid w:val="00605157"/>
    <w:rsid w:val="0061120F"/>
    <w:rsid w:val="00611E3F"/>
    <w:rsid w:val="006155F4"/>
    <w:rsid w:val="00616FDC"/>
    <w:rsid w:val="00621211"/>
    <w:rsid w:val="006222CA"/>
    <w:rsid w:val="00624BD3"/>
    <w:rsid w:val="00625875"/>
    <w:rsid w:val="006315B1"/>
    <w:rsid w:val="006320B7"/>
    <w:rsid w:val="0063213E"/>
    <w:rsid w:val="0063544F"/>
    <w:rsid w:val="00637479"/>
    <w:rsid w:val="00640FCA"/>
    <w:rsid w:val="0064483F"/>
    <w:rsid w:val="00646502"/>
    <w:rsid w:val="00652338"/>
    <w:rsid w:val="00657998"/>
    <w:rsid w:val="00664916"/>
    <w:rsid w:val="0067368F"/>
    <w:rsid w:val="006749E1"/>
    <w:rsid w:val="006811B1"/>
    <w:rsid w:val="0068125D"/>
    <w:rsid w:val="00690FA2"/>
    <w:rsid w:val="006929FA"/>
    <w:rsid w:val="006951DC"/>
    <w:rsid w:val="00695495"/>
    <w:rsid w:val="00696DF6"/>
    <w:rsid w:val="006C66CD"/>
    <w:rsid w:val="006D08CC"/>
    <w:rsid w:val="006D1674"/>
    <w:rsid w:val="006D1C01"/>
    <w:rsid w:val="006D1D85"/>
    <w:rsid w:val="006D3654"/>
    <w:rsid w:val="006D633A"/>
    <w:rsid w:val="006D6984"/>
    <w:rsid w:val="006F01AB"/>
    <w:rsid w:val="006F1A4C"/>
    <w:rsid w:val="006F44F9"/>
    <w:rsid w:val="0070207D"/>
    <w:rsid w:val="0070365E"/>
    <w:rsid w:val="007036F4"/>
    <w:rsid w:val="00705446"/>
    <w:rsid w:val="007201E5"/>
    <w:rsid w:val="00720EEF"/>
    <w:rsid w:val="007217E9"/>
    <w:rsid w:val="00725F01"/>
    <w:rsid w:val="0072630C"/>
    <w:rsid w:val="007317F9"/>
    <w:rsid w:val="00731FD1"/>
    <w:rsid w:val="00736D68"/>
    <w:rsid w:val="0074014A"/>
    <w:rsid w:val="007405D1"/>
    <w:rsid w:val="00740A14"/>
    <w:rsid w:val="00745235"/>
    <w:rsid w:val="00745326"/>
    <w:rsid w:val="00751D92"/>
    <w:rsid w:val="007522B6"/>
    <w:rsid w:val="00760132"/>
    <w:rsid w:val="00775C60"/>
    <w:rsid w:val="00777A63"/>
    <w:rsid w:val="00782540"/>
    <w:rsid w:val="0078263B"/>
    <w:rsid w:val="0078432D"/>
    <w:rsid w:val="00786720"/>
    <w:rsid w:val="00791A8E"/>
    <w:rsid w:val="007A11BA"/>
    <w:rsid w:val="007B0839"/>
    <w:rsid w:val="007B4B0A"/>
    <w:rsid w:val="007B4D11"/>
    <w:rsid w:val="007B57D1"/>
    <w:rsid w:val="007C03DE"/>
    <w:rsid w:val="007C07FC"/>
    <w:rsid w:val="007D2ECD"/>
    <w:rsid w:val="007D34BA"/>
    <w:rsid w:val="007D3BC9"/>
    <w:rsid w:val="007D418F"/>
    <w:rsid w:val="007E4CCD"/>
    <w:rsid w:val="007E5C98"/>
    <w:rsid w:val="007F1543"/>
    <w:rsid w:val="0080540A"/>
    <w:rsid w:val="00812A74"/>
    <w:rsid w:val="008173A6"/>
    <w:rsid w:val="008177C4"/>
    <w:rsid w:val="00833666"/>
    <w:rsid w:val="008357CD"/>
    <w:rsid w:val="00836283"/>
    <w:rsid w:val="008362C0"/>
    <w:rsid w:val="00837E7D"/>
    <w:rsid w:val="00844E63"/>
    <w:rsid w:val="00850FC4"/>
    <w:rsid w:val="00851029"/>
    <w:rsid w:val="00851F7C"/>
    <w:rsid w:val="00853DBA"/>
    <w:rsid w:val="008657A2"/>
    <w:rsid w:val="00870086"/>
    <w:rsid w:val="00882322"/>
    <w:rsid w:val="0088291F"/>
    <w:rsid w:val="00887E67"/>
    <w:rsid w:val="008905D0"/>
    <w:rsid w:val="008930F8"/>
    <w:rsid w:val="00895215"/>
    <w:rsid w:val="008953AC"/>
    <w:rsid w:val="008A1394"/>
    <w:rsid w:val="008A641C"/>
    <w:rsid w:val="008B3264"/>
    <w:rsid w:val="008B3803"/>
    <w:rsid w:val="008C5411"/>
    <w:rsid w:val="008D0B69"/>
    <w:rsid w:val="008D0E2A"/>
    <w:rsid w:val="008D5224"/>
    <w:rsid w:val="008D58C6"/>
    <w:rsid w:val="008D7948"/>
    <w:rsid w:val="008F76EB"/>
    <w:rsid w:val="008F7B26"/>
    <w:rsid w:val="00905CE1"/>
    <w:rsid w:val="00905F55"/>
    <w:rsid w:val="0090662C"/>
    <w:rsid w:val="00914CE1"/>
    <w:rsid w:val="009221B8"/>
    <w:rsid w:val="00932C7B"/>
    <w:rsid w:val="0094207C"/>
    <w:rsid w:val="009441A7"/>
    <w:rsid w:val="00952F49"/>
    <w:rsid w:val="0095648D"/>
    <w:rsid w:val="00961DB9"/>
    <w:rsid w:val="00962538"/>
    <w:rsid w:val="00962D73"/>
    <w:rsid w:val="00965BB0"/>
    <w:rsid w:val="00966E16"/>
    <w:rsid w:val="00974141"/>
    <w:rsid w:val="0097581C"/>
    <w:rsid w:val="00977D10"/>
    <w:rsid w:val="00981C15"/>
    <w:rsid w:val="00990EB7"/>
    <w:rsid w:val="0099126D"/>
    <w:rsid w:val="009978A0"/>
    <w:rsid w:val="009B3292"/>
    <w:rsid w:val="009B7C1B"/>
    <w:rsid w:val="009C2265"/>
    <w:rsid w:val="009C37E9"/>
    <w:rsid w:val="009C6FB2"/>
    <w:rsid w:val="009D628D"/>
    <w:rsid w:val="009D78BC"/>
    <w:rsid w:val="009E022C"/>
    <w:rsid w:val="009E067E"/>
    <w:rsid w:val="009E28B0"/>
    <w:rsid w:val="009F2521"/>
    <w:rsid w:val="00A02D5C"/>
    <w:rsid w:val="00A03248"/>
    <w:rsid w:val="00A04680"/>
    <w:rsid w:val="00A060C3"/>
    <w:rsid w:val="00A201A8"/>
    <w:rsid w:val="00A21636"/>
    <w:rsid w:val="00A249CE"/>
    <w:rsid w:val="00A30905"/>
    <w:rsid w:val="00A37778"/>
    <w:rsid w:val="00A45585"/>
    <w:rsid w:val="00A50215"/>
    <w:rsid w:val="00A53CA4"/>
    <w:rsid w:val="00A5702A"/>
    <w:rsid w:val="00A62021"/>
    <w:rsid w:val="00A62471"/>
    <w:rsid w:val="00A6552B"/>
    <w:rsid w:val="00A65C30"/>
    <w:rsid w:val="00A66B98"/>
    <w:rsid w:val="00A7234E"/>
    <w:rsid w:val="00A77B90"/>
    <w:rsid w:val="00A84E41"/>
    <w:rsid w:val="00A9258B"/>
    <w:rsid w:val="00A96A89"/>
    <w:rsid w:val="00AA416D"/>
    <w:rsid w:val="00AB3109"/>
    <w:rsid w:val="00AB4C7D"/>
    <w:rsid w:val="00AB4E4B"/>
    <w:rsid w:val="00AC5D8D"/>
    <w:rsid w:val="00AC60F7"/>
    <w:rsid w:val="00AD0E9E"/>
    <w:rsid w:val="00AD194B"/>
    <w:rsid w:val="00AD4078"/>
    <w:rsid w:val="00AE1B17"/>
    <w:rsid w:val="00AE2A94"/>
    <w:rsid w:val="00AF1D18"/>
    <w:rsid w:val="00AF478D"/>
    <w:rsid w:val="00AF5F34"/>
    <w:rsid w:val="00AF636F"/>
    <w:rsid w:val="00B0214E"/>
    <w:rsid w:val="00B1060D"/>
    <w:rsid w:val="00B10AE1"/>
    <w:rsid w:val="00B11ABF"/>
    <w:rsid w:val="00B16189"/>
    <w:rsid w:val="00B214DF"/>
    <w:rsid w:val="00B27106"/>
    <w:rsid w:val="00B32906"/>
    <w:rsid w:val="00B4062C"/>
    <w:rsid w:val="00B40A94"/>
    <w:rsid w:val="00B40ACA"/>
    <w:rsid w:val="00B4369B"/>
    <w:rsid w:val="00B43960"/>
    <w:rsid w:val="00B45041"/>
    <w:rsid w:val="00B45AE2"/>
    <w:rsid w:val="00B47079"/>
    <w:rsid w:val="00B4710E"/>
    <w:rsid w:val="00B528AD"/>
    <w:rsid w:val="00B534E0"/>
    <w:rsid w:val="00B57453"/>
    <w:rsid w:val="00B649BB"/>
    <w:rsid w:val="00B70156"/>
    <w:rsid w:val="00B7141D"/>
    <w:rsid w:val="00B755AC"/>
    <w:rsid w:val="00B9057D"/>
    <w:rsid w:val="00B922A3"/>
    <w:rsid w:val="00B957F5"/>
    <w:rsid w:val="00BA6640"/>
    <w:rsid w:val="00BA6CC5"/>
    <w:rsid w:val="00BB12BC"/>
    <w:rsid w:val="00BB2B36"/>
    <w:rsid w:val="00BB55ED"/>
    <w:rsid w:val="00BB76C2"/>
    <w:rsid w:val="00BC06EA"/>
    <w:rsid w:val="00BC1417"/>
    <w:rsid w:val="00BC1C89"/>
    <w:rsid w:val="00BC5681"/>
    <w:rsid w:val="00BC5703"/>
    <w:rsid w:val="00BC5966"/>
    <w:rsid w:val="00BC62C6"/>
    <w:rsid w:val="00BD1328"/>
    <w:rsid w:val="00BD2C7D"/>
    <w:rsid w:val="00BD3735"/>
    <w:rsid w:val="00BD6074"/>
    <w:rsid w:val="00BD7047"/>
    <w:rsid w:val="00BD741A"/>
    <w:rsid w:val="00BD77E0"/>
    <w:rsid w:val="00BE2849"/>
    <w:rsid w:val="00BE67BE"/>
    <w:rsid w:val="00BF0D59"/>
    <w:rsid w:val="00BF4E0C"/>
    <w:rsid w:val="00C017B7"/>
    <w:rsid w:val="00C02B4B"/>
    <w:rsid w:val="00C10075"/>
    <w:rsid w:val="00C1248E"/>
    <w:rsid w:val="00C16E8B"/>
    <w:rsid w:val="00C2385B"/>
    <w:rsid w:val="00C268F1"/>
    <w:rsid w:val="00C3038E"/>
    <w:rsid w:val="00C514DD"/>
    <w:rsid w:val="00C521C2"/>
    <w:rsid w:val="00C57880"/>
    <w:rsid w:val="00C6612A"/>
    <w:rsid w:val="00C66FB3"/>
    <w:rsid w:val="00C673B1"/>
    <w:rsid w:val="00C7050D"/>
    <w:rsid w:val="00C72C4C"/>
    <w:rsid w:val="00C77BF6"/>
    <w:rsid w:val="00C80D98"/>
    <w:rsid w:val="00C848A0"/>
    <w:rsid w:val="00C86B68"/>
    <w:rsid w:val="00C947AF"/>
    <w:rsid w:val="00CA1156"/>
    <w:rsid w:val="00CB778D"/>
    <w:rsid w:val="00CD03DF"/>
    <w:rsid w:val="00CD05FD"/>
    <w:rsid w:val="00CD4714"/>
    <w:rsid w:val="00CD6690"/>
    <w:rsid w:val="00CE35FE"/>
    <w:rsid w:val="00CE44B1"/>
    <w:rsid w:val="00CF291D"/>
    <w:rsid w:val="00CF62CC"/>
    <w:rsid w:val="00D0020C"/>
    <w:rsid w:val="00D0348F"/>
    <w:rsid w:val="00D0482F"/>
    <w:rsid w:val="00D10F3B"/>
    <w:rsid w:val="00D16095"/>
    <w:rsid w:val="00D16F9D"/>
    <w:rsid w:val="00D26CDA"/>
    <w:rsid w:val="00D341A9"/>
    <w:rsid w:val="00D40BE5"/>
    <w:rsid w:val="00D42208"/>
    <w:rsid w:val="00D44596"/>
    <w:rsid w:val="00D57168"/>
    <w:rsid w:val="00D62F05"/>
    <w:rsid w:val="00D65C33"/>
    <w:rsid w:val="00D76D7B"/>
    <w:rsid w:val="00D77842"/>
    <w:rsid w:val="00D84076"/>
    <w:rsid w:val="00D854CE"/>
    <w:rsid w:val="00D86C8A"/>
    <w:rsid w:val="00D9033B"/>
    <w:rsid w:val="00D91CC3"/>
    <w:rsid w:val="00DA0B2B"/>
    <w:rsid w:val="00DA1958"/>
    <w:rsid w:val="00DA6AF0"/>
    <w:rsid w:val="00DB0F93"/>
    <w:rsid w:val="00DB1193"/>
    <w:rsid w:val="00DC2634"/>
    <w:rsid w:val="00DC538F"/>
    <w:rsid w:val="00DD3D4D"/>
    <w:rsid w:val="00DD3E40"/>
    <w:rsid w:val="00DD4320"/>
    <w:rsid w:val="00DD5077"/>
    <w:rsid w:val="00DD549E"/>
    <w:rsid w:val="00DD6E79"/>
    <w:rsid w:val="00DE00FC"/>
    <w:rsid w:val="00DE04E7"/>
    <w:rsid w:val="00DE4AA1"/>
    <w:rsid w:val="00DE4EC2"/>
    <w:rsid w:val="00DE55B6"/>
    <w:rsid w:val="00DE790B"/>
    <w:rsid w:val="00DF28A5"/>
    <w:rsid w:val="00DF2994"/>
    <w:rsid w:val="00DF3AF7"/>
    <w:rsid w:val="00DF4251"/>
    <w:rsid w:val="00DF6B5F"/>
    <w:rsid w:val="00DF78AF"/>
    <w:rsid w:val="00E00A7C"/>
    <w:rsid w:val="00E01B5A"/>
    <w:rsid w:val="00E045FB"/>
    <w:rsid w:val="00E21FDF"/>
    <w:rsid w:val="00E251C3"/>
    <w:rsid w:val="00E25B70"/>
    <w:rsid w:val="00E27E42"/>
    <w:rsid w:val="00E34DF7"/>
    <w:rsid w:val="00E431E4"/>
    <w:rsid w:val="00E43306"/>
    <w:rsid w:val="00E43963"/>
    <w:rsid w:val="00E56E87"/>
    <w:rsid w:val="00E6434E"/>
    <w:rsid w:val="00E663F5"/>
    <w:rsid w:val="00E672A5"/>
    <w:rsid w:val="00E81254"/>
    <w:rsid w:val="00E8482D"/>
    <w:rsid w:val="00E8678A"/>
    <w:rsid w:val="00E91AC7"/>
    <w:rsid w:val="00E95F35"/>
    <w:rsid w:val="00E969B3"/>
    <w:rsid w:val="00E96D44"/>
    <w:rsid w:val="00E97376"/>
    <w:rsid w:val="00E975A5"/>
    <w:rsid w:val="00EA2F7B"/>
    <w:rsid w:val="00EA3D3F"/>
    <w:rsid w:val="00EB477B"/>
    <w:rsid w:val="00EB4F8D"/>
    <w:rsid w:val="00EB6635"/>
    <w:rsid w:val="00EC2FCA"/>
    <w:rsid w:val="00EC336D"/>
    <w:rsid w:val="00EC3BB2"/>
    <w:rsid w:val="00EC523D"/>
    <w:rsid w:val="00EC771C"/>
    <w:rsid w:val="00ED161E"/>
    <w:rsid w:val="00ED2FAD"/>
    <w:rsid w:val="00ED4CF5"/>
    <w:rsid w:val="00EE0CDB"/>
    <w:rsid w:val="00EE20E2"/>
    <w:rsid w:val="00EE3790"/>
    <w:rsid w:val="00EF19EB"/>
    <w:rsid w:val="00EF2C4F"/>
    <w:rsid w:val="00EF319B"/>
    <w:rsid w:val="00EF4CDC"/>
    <w:rsid w:val="00F027E2"/>
    <w:rsid w:val="00F16FE6"/>
    <w:rsid w:val="00F2378A"/>
    <w:rsid w:val="00F30D1E"/>
    <w:rsid w:val="00F30D29"/>
    <w:rsid w:val="00F4713E"/>
    <w:rsid w:val="00F562AC"/>
    <w:rsid w:val="00F64459"/>
    <w:rsid w:val="00F67834"/>
    <w:rsid w:val="00F809ED"/>
    <w:rsid w:val="00F83973"/>
    <w:rsid w:val="00F83CD3"/>
    <w:rsid w:val="00F90615"/>
    <w:rsid w:val="00F92797"/>
    <w:rsid w:val="00F935DB"/>
    <w:rsid w:val="00F93EF7"/>
    <w:rsid w:val="00F9428F"/>
    <w:rsid w:val="00FA753E"/>
    <w:rsid w:val="00FB0193"/>
    <w:rsid w:val="00FB0A67"/>
    <w:rsid w:val="00FB0C40"/>
    <w:rsid w:val="00FB44D5"/>
    <w:rsid w:val="00FC0D23"/>
    <w:rsid w:val="00FC5248"/>
    <w:rsid w:val="00FC6491"/>
    <w:rsid w:val="00FD35E4"/>
    <w:rsid w:val="00FD65DF"/>
    <w:rsid w:val="00FE6F95"/>
    <w:rsid w:val="00FF3A6D"/>
    <w:rsid w:val="00FF3CAE"/>
    <w:rsid w:val="0287EA9E"/>
    <w:rsid w:val="0414FF03"/>
    <w:rsid w:val="059C5AB2"/>
    <w:rsid w:val="060EE8B5"/>
    <w:rsid w:val="065E43DB"/>
    <w:rsid w:val="07B96325"/>
    <w:rsid w:val="0926F879"/>
    <w:rsid w:val="0BC45666"/>
    <w:rsid w:val="1212FB60"/>
    <w:rsid w:val="13E5DEE3"/>
    <w:rsid w:val="165447B5"/>
    <w:rsid w:val="19C5DDEB"/>
    <w:rsid w:val="1C225F2B"/>
    <w:rsid w:val="1CF20C90"/>
    <w:rsid w:val="1DB4D366"/>
    <w:rsid w:val="1F3AB1C9"/>
    <w:rsid w:val="1F4D8829"/>
    <w:rsid w:val="2456B493"/>
    <w:rsid w:val="25EBEDDD"/>
    <w:rsid w:val="29BFD5BE"/>
    <w:rsid w:val="310C2972"/>
    <w:rsid w:val="31569F51"/>
    <w:rsid w:val="32AB01B0"/>
    <w:rsid w:val="34E4A890"/>
    <w:rsid w:val="3535C436"/>
    <w:rsid w:val="370C9F17"/>
    <w:rsid w:val="382570BD"/>
    <w:rsid w:val="386D64F8"/>
    <w:rsid w:val="38DE569F"/>
    <w:rsid w:val="3B319991"/>
    <w:rsid w:val="3B441A4A"/>
    <w:rsid w:val="3C21DC0E"/>
    <w:rsid w:val="3F346FC6"/>
    <w:rsid w:val="409A5900"/>
    <w:rsid w:val="42FC09A9"/>
    <w:rsid w:val="4307619E"/>
    <w:rsid w:val="5257CE38"/>
    <w:rsid w:val="5375F745"/>
    <w:rsid w:val="549E44E8"/>
    <w:rsid w:val="550C2B4A"/>
    <w:rsid w:val="553E9477"/>
    <w:rsid w:val="577E2F90"/>
    <w:rsid w:val="58F16794"/>
    <w:rsid w:val="5AFBD498"/>
    <w:rsid w:val="5F503D1F"/>
    <w:rsid w:val="60ED33B4"/>
    <w:rsid w:val="62E9D2CB"/>
    <w:rsid w:val="6452B45A"/>
    <w:rsid w:val="65F09CFE"/>
    <w:rsid w:val="6846617D"/>
    <w:rsid w:val="693A26C8"/>
    <w:rsid w:val="6C3BE76A"/>
    <w:rsid w:val="6D9A054B"/>
    <w:rsid w:val="71C118F0"/>
    <w:rsid w:val="734C6FD8"/>
    <w:rsid w:val="7435F298"/>
    <w:rsid w:val="760C960B"/>
    <w:rsid w:val="7B5B55FC"/>
    <w:rsid w:val="7BD387DC"/>
    <w:rsid w:val="7C7BD78F"/>
    <w:rsid w:val="7DF9E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983E"/>
  <w15:chartTrackingRefBased/>
  <w15:docId w15:val="{32313027-1C6C-4AE1-9ED7-80098B96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D741A"/>
    <w:pPr>
      <w:widowControl w:val="0"/>
      <w:spacing w:after="0" w:line="240" w:lineRule="auto"/>
    </w:pPr>
    <w:rPr>
      <w:lang w:val="en-US"/>
    </w:rPr>
  </w:style>
  <w:style w:type="paragraph" w:styleId="Heading1">
    <w:name w:val="heading 1"/>
    <w:basedOn w:val="Normal"/>
    <w:link w:val="Heading1Char"/>
    <w:uiPriority w:val="1"/>
    <w:qFormat/>
    <w:rsid w:val="00BD741A"/>
    <w:pPr>
      <w:ind w:left="948" w:hanging="720"/>
      <w:outlineLvl w:val="0"/>
    </w:pPr>
    <w:rPr>
      <w:rFonts w:ascii="Arial" w:hAnsi="Arial" w:eastAsia="Arial"/>
      <w:b/>
      <w:bCs/>
      <w:sz w:val="20"/>
      <w:szCs w:val="20"/>
    </w:rPr>
  </w:style>
  <w:style w:type="paragraph" w:styleId="Heading2">
    <w:name w:val="heading 2"/>
    <w:basedOn w:val="Normal"/>
    <w:next w:val="Normal"/>
    <w:link w:val="Heading2Char"/>
    <w:uiPriority w:val="1"/>
    <w:unhideWhenUsed/>
    <w:qFormat/>
    <w:rsid w:val="00BD741A"/>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741A"/>
    <w:pPr>
      <w:keepNext/>
      <w:keepLines/>
      <w:widowControl/>
      <w:spacing w:before="40"/>
      <w:outlineLvl w:val="2"/>
    </w:pPr>
    <w:rPr>
      <w:rFonts w:ascii="Calibri" w:hAnsi="Calibri" w:eastAsia="MS Gothic" w:cs="Times New Roman"/>
      <w:color w:val="243F60"/>
      <w:sz w:val="24"/>
      <w:szCs w:val="24"/>
      <w:lang w:val="en-GB" w:eastAsia="ja-JP"/>
    </w:rPr>
  </w:style>
  <w:style w:type="paragraph" w:styleId="Heading4">
    <w:name w:val="heading 4"/>
    <w:basedOn w:val="Heading3"/>
    <w:next w:val="Normal"/>
    <w:link w:val="Heading4Char"/>
    <w:uiPriority w:val="9"/>
    <w:unhideWhenUsed/>
    <w:qFormat/>
    <w:rsid w:val="00BD741A"/>
    <w:pPr>
      <w:numPr>
        <w:numId w:val="19"/>
      </w:numPr>
      <w:spacing w:after="120"/>
      <w:ind w:right="57"/>
      <w:outlineLvl w:val="3"/>
    </w:pPr>
    <w:rPr>
      <w:rFonts w:ascii="Arial" w:hAnsi="Arial" w:cs="Arial" w:eastAsiaTheme="majorEastAsia"/>
      <w:b/>
      <w:bCs/>
      <w:color w:val="auto"/>
      <w:sz w:val="19"/>
      <w:szCs w:val="16"/>
      <w:lang w:eastAsia="en-US"/>
    </w:rPr>
  </w:style>
  <w:style w:type="paragraph" w:styleId="Heading6">
    <w:name w:val="heading 6"/>
    <w:basedOn w:val="Normal"/>
    <w:next w:val="Normal"/>
    <w:link w:val="Heading6Char"/>
    <w:uiPriority w:val="9"/>
    <w:unhideWhenUsed/>
    <w:qFormat/>
    <w:rsid w:val="00BD741A"/>
    <w:pPr>
      <w:keepNext/>
      <w:keepLines/>
      <w:spacing w:before="40"/>
      <w:outlineLvl w:val="5"/>
    </w:pPr>
    <w:rPr>
      <w:rFonts w:asciiTheme="majorHAnsi" w:hAnsiTheme="majorHAnsi" w:eastAsiaTheme="majorEastAsia" w:cstheme="majorBidi"/>
      <w:color w:val="1F4D78" w:themeColor="accent1" w:themeShade="7F"/>
      <w:sz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MSc bulleted list,OBC Bullet,F5 List Paragraph,List Paragraph1,Dot pt,No Spacing1,List Paragraph Char Char Char,Indicator Text,Colorful List - Accent 11,Numbered Para 1,Bullet 1,Bullet Points,MAIN CONTENT,List Paragraph2,Normal numbered"/>
    <w:basedOn w:val="Normal"/>
    <w:link w:val="ListParagraphChar"/>
    <w:uiPriority w:val="1"/>
    <w:qFormat/>
    <w:rsid w:val="00DE4EC2"/>
    <w:pPr>
      <w:spacing w:line="256" w:lineRule="auto"/>
      <w:ind w:left="720"/>
      <w:contextualSpacing/>
    </w:pPr>
  </w:style>
  <w:style w:type="character" w:styleId="CommentReference">
    <w:name w:val="annotation reference"/>
    <w:basedOn w:val="DefaultParagraphFont"/>
    <w:uiPriority w:val="99"/>
    <w:semiHidden/>
    <w:unhideWhenUsed/>
    <w:rsid w:val="00B4369B"/>
    <w:rPr>
      <w:sz w:val="16"/>
      <w:szCs w:val="16"/>
    </w:rPr>
  </w:style>
  <w:style w:type="paragraph" w:styleId="CommentText">
    <w:name w:val="annotation text"/>
    <w:basedOn w:val="Normal"/>
    <w:link w:val="CommentTextChar"/>
    <w:uiPriority w:val="99"/>
    <w:unhideWhenUsed/>
    <w:rsid w:val="00B4369B"/>
    <w:rPr>
      <w:sz w:val="20"/>
      <w:szCs w:val="20"/>
    </w:rPr>
  </w:style>
  <w:style w:type="character" w:styleId="CommentTextChar" w:customStyle="1">
    <w:name w:val="Comment Text Char"/>
    <w:basedOn w:val="DefaultParagraphFont"/>
    <w:link w:val="CommentText"/>
    <w:uiPriority w:val="99"/>
    <w:rsid w:val="00B4369B"/>
    <w:rPr>
      <w:sz w:val="20"/>
      <w:szCs w:val="20"/>
    </w:rPr>
  </w:style>
  <w:style w:type="paragraph" w:styleId="CommentSubject">
    <w:name w:val="annotation subject"/>
    <w:basedOn w:val="CommentText"/>
    <w:next w:val="CommentText"/>
    <w:link w:val="CommentSubjectChar"/>
    <w:uiPriority w:val="99"/>
    <w:semiHidden/>
    <w:unhideWhenUsed/>
    <w:rsid w:val="00B4369B"/>
    <w:rPr>
      <w:b/>
      <w:bCs/>
    </w:rPr>
  </w:style>
  <w:style w:type="character" w:styleId="CommentSubjectChar" w:customStyle="1">
    <w:name w:val="Comment Subject Char"/>
    <w:basedOn w:val="CommentTextChar"/>
    <w:link w:val="CommentSubject"/>
    <w:uiPriority w:val="99"/>
    <w:semiHidden/>
    <w:rsid w:val="00B4369B"/>
    <w:rPr>
      <w:b/>
      <w:bCs/>
      <w:sz w:val="20"/>
      <w:szCs w:val="20"/>
    </w:rPr>
  </w:style>
  <w:style w:type="paragraph" w:styleId="Revision">
    <w:name w:val="Revision"/>
    <w:hidden/>
    <w:uiPriority w:val="99"/>
    <w:semiHidden/>
    <w:rsid w:val="00B4369B"/>
    <w:pPr>
      <w:spacing w:after="0" w:line="240" w:lineRule="auto"/>
    </w:pPr>
  </w:style>
  <w:style w:type="paragraph" w:styleId="BalloonText">
    <w:name w:val="Balloon Text"/>
    <w:basedOn w:val="Normal"/>
    <w:link w:val="BalloonTextChar"/>
    <w:uiPriority w:val="99"/>
    <w:semiHidden/>
    <w:unhideWhenUsed/>
    <w:rsid w:val="00B4369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369B"/>
    <w:rPr>
      <w:rFonts w:ascii="Segoe UI" w:hAnsi="Segoe UI" w:cs="Segoe UI"/>
      <w:sz w:val="18"/>
      <w:szCs w:val="18"/>
    </w:rPr>
  </w:style>
  <w:style w:type="character" w:styleId="Hyperlink">
    <w:name w:val="Hyperlink"/>
    <w:uiPriority w:val="99"/>
    <w:unhideWhenUsed/>
    <w:rsid w:val="003E46EB"/>
    <w:rPr>
      <w:color w:val="0000FF"/>
      <w:u w:val="single"/>
    </w:rPr>
  </w:style>
  <w:style w:type="table" w:styleId="TableGrid">
    <w:name w:val="Table Grid"/>
    <w:basedOn w:val="TableNormal"/>
    <w:uiPriority w:val="59"/>
    <w:rsid w:val="003E46E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E46EB"/>
    <w:pPr>
      <w:autoSpaceDE w:val="0"/>
      <w:autoSpaceDN w:val="0"/>
      <w:adjustRightInd w:val="0"/>
      <w:spacing w:after="0" w:line="240" w:lineRule="auto"/>
    </w:pPr>
    <w:rPr>
      <w:rFonts w:ascii="Syntax" w:hAnsi="Syntax" w:eastAsia="MS ??" w:cs="Syntax"/>
      <w:color w:val="000000"/>
      <w:sz w:val="24"/>
      <w:szCs w:val="24"/>
      <w:lang w:eastAsia="en-GB"/>
    </w:rPr>
  </w:style>
  <w:style w:type="paragraph" w:styleId="Header">
    <w:name w:val="header"/>
    <w:basedOn w:val="Normal"/>
    <w:link w:val="HeaderChar"/>
    <w:uiPriority w:val="99"/>
    <w:unhideWhenUsed/>
    <w:rsid w:val="0090662C"/>
    <w:pPr>
      <w:tabs>
        <w:tab w:val="center" w:pos="4513"/>
        <w:tab w:val="right" w:pos="9026"/>
      </w:tabs>
    </w:pPr>
  </w:style>
  <w:style w:type="character" w:styleId="HeaderChar" w:customStyle="1">
    <w:name w:val="Header Char"/>
    <w:basedOn w:val="DefaultParagraphFont"/>
    <w:link w:val="Header"/>
    <w:uiPriority w:val="99"/>
    <w:rsid w:val="0090662C"/>
  </w:style>
  <w:style w:type="paragraph" w:styleId="Footer">
    <w:name w:val="footer"/>
    <w:basedOn w:val="Normal"/>
    <w:link w:val="FooterChar"/>
    <w:uiPriority w:val="99"/>
    <w:unhideWhenUsed/>
    <w:rsid w:val="0090662C"/>
    <w:pPr>
      <w:tabs>
        <w:tab w:val="center" w:pos="4513"/>
        <w:tab w:val="right" w:pos="9026"/>
      </w:tabs>
    </w:pPr>
  </w:style>
  <w:style w:type="character" w:styleId="FooterChar" w:customStyle="1">
    <w:name w:val="Footer Char"/>
    <w:basedOn w:val="DefaultParagraphFont"/>
    <w:link w:val="Footer"/>
    <w:uiPriority w:val="99"/>
    <w:rsid w:val="0090662C"/>
  </w:style>
  <w:style w:type="character" w:styleId="Heading1Char" w:customStyle="1">
    <w:name w:val="Heading 1 Char"/>
    <w:basedOn w:val="DefaultParagraphFont"/>
    <w:link w:val="Heading1"/>
    <w:uiPriority w:val="1"/>
    <w:rsid w:val="00BD741A"/>
    <w:rPr>
      <w:rFonts w:ascii="Arial" w:hAnsi="Arial" w:eastAsia="Arial"/>
      <w:b/>
      <w:bCs/>
      <w:sz w:val="20"/>
      <w:szCs w:val="20"/>
      <w:lang w:val="en-US"/>
    </w:rPr>
  </w:style>
  <w:style w:type="character" w:styleId="Heading2Char" w:customStyle="1">
    <w:name w:val="Heading 2 Char"/>
    <w:basedOn w:val="DefaultParagraphFont"/>
    <w:link w:val="Heading2"/>
    <w:uiPriority w:val="1"/>
    <w:rsid w:val="00BD741A"/>
    <w:rPr>
      <w:rFonts w:asciiTheme="majorHAnsi" w:hAnsiTheme="majorHAnsi" w:eastAsiaTheme="majorEastAsia" w:cstheme="majorBidi"/>
      <w:color w:val="2E74B5" w:themeColor="accent1" w:themeShade="BF"/>
      <w:sz w:val="26"/>
      <w:szCs w:val="26"/>
      <w:lang w:val="en-US"/>
    </w:rPr>
  </w:style>
  <w:style w:type="character" w:styleId="Heading3Char" w:customStyle="1">
    <w:name w:val="Heading 3 Char"/>
    <w:basedOn w:val="DefaultParagraphFont"/>
    <w:link w:val="Heading3"/>
    <w:uiPriority w:val="9"/>
    <w:rsid w:val="00BD741A"/>
    <w:rPr>
      <w:rFonts w:ascii="Calibri" w:hAnsi="Calibri" w:eastAsia="MS Gothic" w:cs="Times New Roman"/>
      <w:color w:val="243F60"/>
      <w:sz w:val="24"/>
      <w:szCs w:val="24"/>
      <w:lang w:eastAsia="ja-JP"/>
    </w:rPr>
  </w:style>
  <w:style w:type="character" w:styleId="Heading4Char" w:customStyle="1">
    <w:name w:val="Heading 4 Char"/>
    <w:basedOn w:val="DefaultParagraphFont"/>
    <w:link w:val="Heading4"/>
    <w:uiPriority w:val="9"/>
    <w:rsid w:val="00BD741A"/>
    <w:rPr>
      <w:rFonts w:ascii="Arial" w:hAnsi="Arial" w:cs="Arial" w:eastAsiaTheme="majorEastAsia"/>
      <w:b/>
      <w:bCs/>
      <w:sz w:val="19"/>
      <w:szCs w:val="16"/>
    </w:rPr>
  </w:style>
  <w:style w:type="character" w:styleId="Heading6Char" w:customStyle="1">
    <w:name w:val="Heading 6 Char"/>
    <w:basedOn w:val="DefaultParagraphFont"/>
    <w:link w:val="Heading6"/>
    <w:uiPriority w:val="9"/>
    <w:rsid w:val="00BD741A"/>
    <w:rPr>
      <w:rFonts w:asciiTheme="majorHAnsi" w:hAnsiTheme="majorHAnsi" w:eastAsiaTheme="majorEastAsia" w:cstheme="majorBidi"/>
      <w:color w:val="1F4D78" w:themeColor="accent1" w:themeShade="7F"/>
      <w:sz w:val="19"/>
      <w:lang w:val="en-US"/>
    </w:rPr>
  </w:style>
  <w:style w:type="paragraph" w:styleId="msonormal0" w:customStyle="1">
    <w:name w:val="msonormal"/>
    <w:basedOn w:val="Normal"/>
    <w:rsid w:val="00BD741A"/>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styleId="BodyText">
    <w:name w:val="Body Text"/>
    <w:basedOn w:val="Normal"/>
    <w:link w:val="BodyTextChar"/>
    <w:uiPriority w:val="1"/>
    <w:unhideWhenUsed/>
    <w:qFormat/>
    <w:rsid w:val="00BD741A"/>
    <w:pPr>
      <w:ind w:left="948" w:hanging="360"/>
    </w:pPr>
    <w:rPr>
      <w:rFonts w:ascii="Arial" w:hAnsi="Arial" w:eastAsia="Arial"/>
      <w:sz w:val="20"/>
      <w:szCs w:val="20"/>
    </w:rPr>
  </w:style>
  <w:style w:type="character" w:styleId="BodyTextChar" w:customStyle="1">
    <w:name w:val="Body Text Char"/>
    <w:basedOn w:val="DefaultParagraphFont"/>
    <w:link w:val="BodyText"/>
    <w:uiPriority w:val="1"/>
    <w:rsid w:val="00BD741A"/>
    <w:rPr>
      <w:rFonts w:ascii="Arial" w:hAnsi="Arial" w:eastAsia="Arial"/>
      <w:sz w:val="20"/>
      <w:szCs w:val="20"/>
      <w:lang w:val="en-US"/>
    </w:rPr>
  </w:style>
  <w:style w:type="character" w:styleId="ListParagraphChar" w:customStyle="1">
    <w:name w:val="List Paragraph Char"/>
    <w:aliases w:val="MSc bulleted list Char,OBC Bullet Char,F5 List Paragraph Char,List Paragraph1 Char,Dot pt Char,No Spacing1 Char,List Paragraph Char Char Char Char,Indicator Text Char,Colorful List - Accent 11 Char,Numbered Para 1 Char,Bullet 1 Char"/>
    <w:link w:val="ListParagraph"/>
    <w:uiPriority w:val="1"/>
    <w:qFormat/>
    <w:locked/>
    <w:rsid w:val="00BD741A"/>
  </w:style>
  <w:style w:type="character" w:styleId="TableParagraphChar" w:customStyle="1">
    <w:name w:val="Table Paragraph Char"/>
    <w:basedOn w:val="DefaultParagraphFont"/>
    <w:link w:val="TableParagraph"/>
    <w:uiPriority w:val="1"/>
    <w:locked/>
    <w:rsid w:val="00BD741A"/>
  </w:style>
  <w:style w:type="paragraph" w:styleId="TableParagraph" w:customStyle="1">
    <w:name w:val="Table Paragraph"/>
    <w:basedOn w:val="Normal"/>
    <w:link w:val="TableParagraphChar"/>
    <w:uiPriority w:val="1"/>
    <w:qFormat/>
    <w:rsid w:val="00BD741A"/>
    <w:rPr>
      <w:lang w:val="en-GB"/>
    </w:rPr>
  </w:style>
  <w:style w:type="paragraph" w:styleId="CSLTableText" w:customStyle="1">
    <w:name w:val="CSL TableText"/>
    <w:basedOn w:val="Normal"/>
    <w:uiPriority w:val="99"/>
    <w:rsid w:val="00BD741A"/>
    <w:pPr>
      <w:widowControl/>
      <w:spacing w:before="60" w:after="60" w:line="240" w:lineRule="atLeast"/>
    </w:pPr>
    <w:rPr>
      <w:rFonts w:ascii="Arial" w:hAnsi="Arial" w:eastAsia="Times New Roman" w:cs="Times New Roman"/>
      <w:sz w:val="20"/>
      <w:szCs w:val="20"/>
      <w:lang w:val="en-GB"/>
    </w:rPr>
  </w:style>
  <w:style w:type="paragraph" w:styleId="CSLTableHead" w:customStyle="1">
    <w:name w:val="CSL TableHead"/>
    <w:basedOn w:val="CSLTableText"/>
    <w:uiPriority w:val="99"/>
    <w:rsid w:val="00BD741A"/>
    <w:rPr>
      <w:b/>
    </w:rPr>
  </w:style>
  <w:style w:type="paragraph" w:styleId="CSLBodyHead2" w:customStyle="1">
    <w:name w:val="CSL BodyHead2"/>
    <w:basedOn w:val="Normal"/>
    <w:next w:val="Normal"/>
    <w:uiPriority w:val="99"/>
    <w:rsid w:val="00BD741A"/>
    <w:pPr>
      <w:widowControl/>
      <w:spacing w:before="240" w:after="240" w:line="240" w:lineRule="atLeast"/>
    </w:pPr>
    <w:rPr>
      <w:rFonts w:ascii="Arial Bold" w:hAnsi="Arial Bold" w:eastAsia="Times New Roman" w:cs="Times New Roman"/>
      <w:b/>
      <w:bCs/>
      <w:sz w:val="24"/>
      <w:szCs w:val="20"/>
      <w:lang w:val="en-GB"/>
    </w:rPr>
  </w:style>
  <w:style w:type="character" w:styleId="OOHS1Char" w:customStyle="1">
    <w:name w:val="OOHS1 Char"/>
    <w:basedOn w:val="DefaultParagraphFont"/>
    <w:link w:val="OOHS1"/>
    <w:uiPriority w:val="1"/>
    <w:locked/>
    <w:rsid w:val="00BD741A"/>
    <w:rPr>
      <w:rFonts w:ascii="Arial" w:hAnsi="Arial" w:eastAsia="Arial" w:cstheme="majorBidi"/>
      <w:b/>
      <w:bCs/>
      <w:color w:val="FFFFFF" w:themeColor="background1"/>
      <w:sz w:val="40"/>
      <w:szCs w:val="24"/>
    </w:rPr>
  </w:style>
  <w:style w:type="paragraph" w:styleId="OOHS1" w:customStyle="1">
    <w:name w:val="OOHS1"/>
    <w:basedOn w:val="Heading1"/>
    <w:link w:val="OOHS1Char"/>
    <w:uiPriority w:val="1"/>
    <w:qFormat/>
    <w:rsid w:val="00BD741A"/>
    <w:pPr>
      <w:ind w:left="0" w:firstLine="0"/>
    </w:pPr>
    <w:rPr>
      <w:rFonts w:cstheme="majorBidi"/>
      <w:color w:val="FFFFFF" w:themeColor="background1"/>
      <w:sz w:val="40"/>
      <w:szCs w:val="24"/>
      <w:lang w:val="en-GB"/>
    </w:rPr>
  </w:style>
  <w:style w:type="character" w:styleId="UpdatedDateChar" w:customStyle="1">
    <w:name w:val="UpdatedDate Char"/>
    <w:basedOn w:val="DefaultParagraphFont"/>
    <w:link w:val="UpdatedDate"/>
    <w:uiPriority w:val="1"/>
    <w:locked/>
    <w:rsid w:val="00BD741A"/>
    <w:rPr>
      <w:b/>
      <w:color w:val="FFFFFF" w:themeColor="background1"/>
    </w:rPr>
  </w:style>
  <w:style w:type="paragraph" w:styleId="UpdatedDate" w:customStyle="1">
    <w:name w:val="UpdatedDate"/>
    <w:basedOn w:val="Normal"/>
    <w:link w:val="UpdatedDateChar"/>
    <w:uiPriority w:val="1"/>
    <w:qFormat/>
    <w:rsid w:val="00BD741A"/>
    <w:pPr>
      <w:jc w:val="right"/>
    </w:pPr>
    <w:rPr>
      <w:b/>
      <w:color w:val="FFFFFF" w:themeColor="background1"/>
      <w:lang w:val="en-GB"/>
    </w:rPr>
  </w:style>
  <w:style w:type="paragraph" w:styleId="CharCharCharChar" w:customStyle="1">
    <w:name w:val="Char Char Char Char"/>
    <w:basedOn w:val="Normal"/>
    <w:semiHidden/>
    <w:rsid w:val="00BD741A"/>
    <w:pPr>
      <w:widowControl/>
      <w:spacing w:after="120" w:line="240" w:lineRule="exact"/>
    </w:pPr>
    <w:rPr>
      <w:rFonts w:ascii="Verdana" w:hAnsi="Verdana" w:eastAsia="Times New Roman" w:cs="Verdana"/>
      <w:sz w:val="20"/>
      <w:szCs w:val="20"/>
    </w:rPr>
  </w:style>
  <w:style w:type="paragraph" w:styleId="NormalWeb">
    <w:name w:val="Normal (Web)"/>
    <w:basedOn w:val="Normal"/>
    <w:uiPriority w:val="99"/>
    <w:unhideWhenUsed/>
    <w:rsid w:val="00BD741A"/>
    <w:pPr>
      <w:widowControl/>
      <w:spacing w:before="100" w:beforeAutospacing="1" w:after="100" w:afterAutospacing="1"/>
    </w:pPr>
    <w:rPr>
      <w:rFonts w:ascii="Times New Roman" w:hAnsi="Times New Roman" w:cs="Times New Roman" w:eastAsiaTheme="minorEastAsia"/>
      <w:sz w:val="24"/>
      <w:szCs w:val="24"/>
      <w:lang w:val="en-GB" w:eastAsia="en-GB"/>
    </w:rPr>
  </w:style>
  <w:style w:type="paragraph" w:styleId="Normal1" w:customStyle="1">
    <w:name w:val="Normal1"/>
    <w:uiPriority w:val="99"/>
    <w:rsid w:val="00BD741A"/>
    <w:pPr>
      <w:spacing w:after="200" w:line="276" w:lineRule="auto"/>
    </w:pPr>
    <w:rPr>
      <w:rFonts w:ascii="Calibri" w:hAnsi="Calibri" w:eastAsia="Calibri" w:cs="Calibri"/>
      <w:lang w:eastAsia="en-GB"/>
    </w:rPr>
  </w:style>
  <w:style w:type="character" w:styleId="FollowedHyperlink">
    <w:name w:val="FollowedHyperlink"/>
    <w:basedOn w:val="DefaultParagraphFont"/>
    <w:uiPriority w:val="99"/>
    <w:semiHidden/>
    <w:unhideWhenUsed/>
    <w:rsid w:val="00BD741A"/>
    <w:rPr>
      <w:color w:val="954F72" w:themeColor="followedHyperlink"/>
      <w:u w:val="single"/>
    </w:rPr>
  </w:style>
  <w:style w:type="paragraph" w:styleId="xmsolistparagraph" w:customStyle="1">
    <w:name w:val="x_msolistparagraph"/>
    <w:basedOn w:val="Normal"/>
    <w:rsid w:val="00BD741A"/>
    <w:pPr>
      <w:widowControl/>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BD741A"/>
    <w:rPr>
      <w:sz w:val="20"/>
      <w:szCs w:val="20"/>
    </w:rPr>
  </w:style>
  <w:style w:type="character" w:styleId="FootnoteTextChar" w:customStyle="1">
    <w:name w:val="Footnote Text Char"/>
    <w:basedOn w:val="DefaultParagraphFont"/>
    <w:link w:val="FootnoteText"/>
    <w:uiPriority w:val="99"/>
    <w:semiHidden/>
    <w:rsid w:val="00BD741A"/>
    <w:rPr>
      <w:sz w:val="20"/>
      <w:szCs w:val="20"/>
      <w:lang w:val="en-US"/>
    </w:rPr>
  </w:style>
  <w:style w:type="character" w:styleId="FootnoteReference">
    <w:name w:val="footnote reference"/>
    <w:basedOn w:val="DefaultParagraphFont"/>
    <w:uiPriority w:val="99"/>
    <w:semiHidden/>
    <w:unhideWhenUsed/>
    <w:rsid w:val="00BD741A"/>
    <w:rPr>
      <w:vertAlign w:val="superscript"/>
    </w:rPr>
  </w:style>
  <w:style w:type="paragraph" w:styleId="DHBodycopy" w:customStyle="1">
    <w:name w:val="DH Body copy"/>
    <w:basedOn w:val="Normal"/>
    <w:rsid w:val="00BD741A"/>
    <w:pPr>
      <w:widowControl/>
      <w:spacing w:line="320" w:lineRule="exact"/>
    </w:pPr>
    <w:rPr>
      <w:rFonts w:ascii="Arial" w:hAnsi="Arial" w:eastAsia="Times New Roman" w:cs="Times New Roman"/>
      <w:sz w:val="24"/>
      <w:szCs w:val="20"/>
      <w:lang w:val="en-GB"/>
    </w:rPr>
  </w:style>
  <w:style w:type="paragraph" w:styleId="Bullet" w:customStyle="1">
    <w:name w:val="Bullet"/>
    <w:basedOn w:val="Normal"/>
    <w:qFormat/>
    <w:rsid w:val="00BD741A"/>
    <w:pPr>
      <w:widowControl/>
      <w:numPr>
        <w:numId w:val="13"/>
      </w:numPr>
      <w:spacing w:after="120"/>
      <w:ind w:left="1080"/>
    </w:pPr>
    <w:rPr>
      <w:rFonts w:ascii="Arial" w:hAnsi="Arial" w:cs="Times New Roman (Body CS)"/>
      <w:color w:val="231F20"/>
      <w:szCs w:val="24"/>
      <w:lang w:val="en-GB"/>
    </w:rPr>
  </w:style>
  <w:style w:type="paragraph" w:styleId="Caption">
    <w:name w:val="caption"/>
    <w:basedOn w:val="Normal"/>
    <w:next w:val="Normal"/>
    <w:uiPriority w:val="35"/>
    <w:unhideWhenUsed/>
    <w:qFormat/>
    <w:rsid w:val="00BD741A"/>
    <w:pPr>
      <w:spacing w:after="200"/>
    </w:pPr>
    <w:rPr>
      <w:i/>
      <w:iCs/>
      <w:color w:val="44546A" w:themeColor="text2"/>
      <w:sz w:val="18"/>
      <w:szCs w:val="18"/>
    </w:rPr>
  </w:style>
  <w:style w:type="paragraph" w:styleId="NoSpacing">
    <w:name w:val="No Spacing"/>
    <w:uiPriority w:val="1"/>
    <w:qFormat/>
    <w:rsid w:val="00BD741A"/>
    <w:pPr>
      <w:spacing w:after="0" w:line="240" w:lineRule="auto"/>
    </w:pPr>
    <w:rPr>
      <w:rFonts w:ascii="Cambria" w:hAnsi="Cambria" w:eastAsia="MS Mincho" w:cs="Times New Roman"/>
      <w:sz w:val="24"/>
      <w:szCs w:val="20"/>
      <w:lang w:val="en-US" w:eastAsia="ja-JP"/>
    </w:rPr>
  </w:style>
  <w:style w:type="paragraph" w:styleId="BodyText2NoSpacing" w:customStyle="1">
    <w:name w:val="Body Text 2 No Spacing"/>
    <w:basedOn w:val="BodyText2"/>
    <w:qFormat/>
    <w:rsid w:val="00BD741A"/>
    <w:pPr>
      <w:widowControl/>
      <w:spacing w:after="240" w:line="276" w:lineRule="auto"/>
    </w:pPr>
    <w:rPr>
      <w:rFonts w:ascii="Arial" w:hAnsi="Arial" w:cs="Times New Roman (Body CS)"/>
      <w:color w:val="231F20"/>
      <w:szCs w:val="24"/>
      <w:lang w:val="en-GB"/>
    </w:rPr>
  </w:style>
  <w:style w:type="paragraph" w:styleId="BodyText2">
    <w:name w:val="Body Text 2"/>
    <w:basedOn w:val="Normal"/>
    <w:link w:val="BodyText2Char"/>
    <w:uiPriority w:val="99"/>
    <w:semiHidden/>
    <w:unhideWhenUsed/>
    <w:rsid w:val="00BD741A"/>
    <w:pPr>
      <w:spacing w:after="120" w:line="480" w:lineRule="auto"/>
    </w:pPr>
  </w:style>
  <w:style w:type="character" w:styleId="BodyText2Char" w:customStyle="1">
    <w:name w:val="Body Text 2 Char"/>
    <w:basedOn w:val="DefaultParagraphFont"/>
    <w:link w:val="BodyText2"/>
    <w:uiPriority w:val="99"/>
    <w:semiHidden/>
    <w:rsid w:val="00BD741A"/>
    <w:rPr>
      <w:lang w:val="en-US"/>
    </w:rPr>
  </w:style>
  <w:style w:type="table" w:styleId="TableGrid1" w:customStyle="1">
    <w:name w:val="Table Grid1"/>
    <w:basedOn w:val="TableNormal"/>
    <w:next w:val="TableGrid"/>
    <w:uiPriority w:val="59"/>
    <w:rsid w:val="00BD74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D741A"/>
    <w:rPr>
      <w:color w:val="605E5C"/>
      <w:shd w:val="clear" w:color="auto" w:fill="E1DFDD"/>
    </w:rPr>
  </w:style>
  <w:style w:type="character" w:styleId="Mention">
    <w:name w:val="Mention"/>
    <w:basedOn w:val="DefaultParagraphFont"/>
    <w:uiPriority w:val="99"/>
    <w:unhideWhenUsed/>
    <w:rsid w:val="001F411B"/>
    <w:rPr>
      <w:color w:val="2B579A"/>
      <w:shd w:val="clear" w:color="auto" w:fill="E1DFDD"/>
    </w:rPr>
  </w:style>
  <w:style w:type="paragraph" w:styleId="EndnoteText">
    <w:name w:val="endnote text"/>
    <w:basedOn w:val="Normal"/>
    <w:link w:val="EndnoteTextChar"/>
    <w:uiPriority w:val="99"/>
    <w:semiHidden/>
    <w:unhideWhenUsed/>
    <w:rsid w:val="00646502"/>
    <w:rPr>
      <w:sz w:val="20"/>
      <w:szCs w:val="20"/>
    </w:rPr>
  </w:style>
  <w:style w:type="character" w:styleId="EndnoteTextChar" w:customStyle="1">
    <w:name w:val="Endnote Text Char"/>
    <w:basedOn w:val="DefaultParagraphFont"/>
    <w:link w:val="EndnoteText"/>
    <w:uiPriority w:val="99"/>
    <w:semiHidden/>
    <w:rsid w:val="00646502"/>
    <w:rPr>
      <w:sz w:val="20"/>
      <w:szCs w:val="20"/>
      <w:lang w:val="en-US"/>
    </w:rPr>
  </w:style>
  <w:style w:type="character" w:styleId="EndnoteReference">
    <w:name w:val="endnote reference"/>
    <w:basedOn w:val="DefaultParagraphFont"/>
    <w:uiPriority w:val="99"/>
    <w:semiHidden/>
    <w:unhideWhenUsed/>
    <w:rsid w:val="00646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5434">
      <w:bodyDiv w:val="1"/>
      <w:marLeft w:val="0"/>
      <w:marRight w:val="0"/>
      <w:marTop w:val="0"/>
      <w:marBottom w:val="0"/>
      <w:divBdr>
        <w:top w:val="none" w:sz="0" w:space="0" w:color="auto"/>
        <w:left w:val="none" w:sz="0" w:space="0" w:color="auto"/>
        <w:bottom w:val="none" w:sz="0" w:space="0" w:color="auto"/>
        <w:right w:val="none" w:sz="0" w:space="0" w:color="auto"/>
      </w:divBdr>
    </w:div>
    <w:div w:id="785005138">
      <w:bodyDiv w:val="1"/>
      <w:marLeft w:val="0"/>
      <w:marRight w:val="0"/>
      <w:marTop w:val="0"/>
      <w:marBottom w:val="0"/>
      <w:divBdr>
        <w:top w:val="none" w:sz="0" w:space="0" w:color="auto"/>
        <w:left w:val="none" w:sz="0" w:space="0" w:color="auto"/>
        <w:bottom w:val="none" w:sz="0" w:space="0" w:color="auto"/>
        <w:right w:val="none" w:sz="0" w:space="0" w:color="auto"/>
      </w:divBdr>
      <w:divsChild>
        <w:div w:id="254290804">
          <w:marLeft w:val="274"/>
          <w:marRight w:val="0"/>
          <w:marTop w:val="0"/>
          <w:marBottom w:val="0"/>
          <w:divBdr>
            <w:top w:val="none" w:sz="0" w:space="0" w:color="auto"/>
            <w:left w:val="none" w:sz="0" w:space="0" w:color="auto"/>
            <w:bottom w:val="none" w:sz="0" w:space="0" w:color="auto"/>
            <w:right w:val="none" w:sz="0" w:space="0" w:color="auto"/>
          </w:divBdr>
        </w:div>
        <w:div w:id="303125997">
          <w:marLeft w:val="274"/>
          <w:marRight w:val="0"/>
          <w:marTop w:val="0"/>
          <w:marBottom w:val="0"/>
          <w:divBdr>
            <w:top w:val="none" w:sz="0" w:space="0" w:color="auto"/>
            <w:left w:val="none" w:sz="0" w:space="0" w:color="auto"/>
            <w:bottom w:val="none" w:sz="0" w:space="0" w:color="auto"/>
            <w:right w:val="none" w:sz="0" w:space="0" w:color="auto"/>
          </w:divBdr>
        </w:div>
        <w:div w:id="583615492">
          <w:marLeft w:val="274"/>
          <w:marRight w:val="0"/>
          <w:marTop w:val="0"/>
          <w:marBottom w:val="0"/>
          <w:divBdr>
            <w:top w:val="none" w:sz="0" w:space="0" w:color="auto"/>
            <w:left w:val="none" w:sz="0" w:space="0" w:color="auto"/>
            <w:bottom w:val="none" w:sz="0" w:space="0" w:color="auto"/>
            <w:right w:val="none" w:sz="0" w:space="0" w:color="auto"/>
          </w:divBdr>
        </w:div>
        <w:div w:id="869994261">
          <w:marLeft w:val="274"/>
          <w:marRight w:val="0"/>
          <w:marTop w:val="0"/>
          <w:marBottom w:val="0"/>
          <w:divBdr>
            <w:top w:val="none" w:sz="0" w:space="0" w:color="auto"/>
            <w:left w:val="none" w:sz="0" w:space="0" w:color="auto"/>
            <w:bottom w:val="none" w:sz="0" w:space="0" w:color="auto"/>
            <w:right w:val="none" w:sz="0" w:space="0" w:color="auto"/>
          </w:divBdr>
        </w:div>
        <w:div w:id="920328978">
          <w:marLeft w:val="274"/>
          <w:marRight w:val="0"/>
          <w:marTop w:val="0"/>
          <w:marBottom w:val="0"/>
          <w:divBdr>
            <w:top w:val="none" w:sz="0" w:space="0" w:color="auto"/>
            <w:left w:val="none" w:sz="0" w:space="0" w:color="auto"/>
            <w:bottom w:val="none" w:sz="0" w:space="0" w:color="auto"/>
            <w:right w:val="none" w:sz="0" w:space="0" w:color="auto"/>
          </w:divBdr>
        </w:div>
        <w:div w:id="1002120883">
          <w:marLeft w:val="274"/>
          <w:marRight w:val="0"/>
          <w:marTop w:val="0"/>
          <w:marBottom w:val="0"/>
          <w:divBdr>
            <w:top w:val="none" w:sz="0" w:space="0" w:color="auto"/>
            <w:left w:val="none" w:sz="0" w:space="0" w:color="auto"/>
            <w:bottom w:val="none" w:sz="0" w:space="0" w:color="auto"/>
            <w:right w:val="none" w:sz="0" w:space="0" w:color="auto"/>
          </w:divBdr>
        </w:div>
        <w:div w:id="1147354748">
          <w:marLeft w:val="274"/>
          <w:marRight w:val="0"/>
          <w:marTop w:val="0"/>
          <w:marBottom w:val="0"/>
          <w:divBdr>
            <w:top w:val="none" w:sz="0" w:space="0" w:color="auto"/>
            <w:left w:val="none" w:sz="0" w:space="0" w:color="auto"/>
            <w:bottom w:val="none" w:sz="0" w:space="0" w:color="auto"/>
            <w:right w:val="none" w:sz="0" w:space="0" w:color="auto"/>
          </w:divBdr>
        </w:div>
        <w:div w:id="1233469269">
          <w:marLeft w:val="274"/>
          <w:marRight w:val="0"/>
          <w:marTop w:val="0"/>
          <w:marBottom w:val="0"/>
          <w:divBdr>
            <w:top w:val="none" w:sz="0" w:space="0" w:color="auto"/>
            <w:left w:val="none" w:sz="0" w:space="0" w:color="auto"/>
            <w:bottom w:val="none" w:sz="0" w:space="0" w:color="auto"/>
            <w:right w:val="none" w:sz="0" w:space="0" w:color="auto"/>
          </w:divBdr>
        </w:div>
        <w:div w:id="1565070173">
          <w:marLeft w:val="274"/>
          <w:marRight w:val="0"/>
          <w:marTop w:val="0"/>
          <w:marBottom w:val="0"/>
          <w:divBdr>
            <w:top w:val="none" w:sz="0" w:space="0" w:color="auto"/>
            <w:left w:val="none" w:sz="0" w:space="0" w:color="auto"/>
            <w:bottom w:val="none" w:sz="0" w:space="0" w:color="auto"/>
            <w:right w:val="none" w:sz="0" w:space="0" w:color="auto"/>
          </w:divBdr>
        </w:div>
        <w:div w:id="1763604983">
          <w:marLeft w:val="274"/>
          <w:marRight w:val="0"/>
          <w:marTop w:val="0"/>
          <w:marBottom w:val="0"/>
          <w:divBdr>
            <w:top w:val="none" w:sz="0" w:space="0" w:color="auto"/>
            <w:left w:val="none" w:sz="0" w:space="0" w:color="auto"/>
            <w:bottom w:val="none" w:sz="0" w:space="0" w:color="auto"/>
            <w:right w:val="none" w:sz="0" w:space="0" w:color="auto"/>
          </w:divBdr>
        </w:div>
        <w:div w:id="1818493027">
          <w:marLeft w:val="274"/>
          <w:marRight w:val="0"/>
          <w:marTop w:val="0"/>
          <w:marBottom w:val="0"/>
          <w:divBdr>
            <w:top w:val="none" w:sz="0" w:space="0" w:color="auto"/>
            <w:left w:val="none" w:sz="0" w:space="0" w:color="auto"/>
            <w:bottom w:val="none" w:sz="0" w:space="0" w:color="auto"/>
            <w:right w:val="none" w:sz="0" w:space="0" w:color="auto"/>
          </w:divBdr>
        </w:div>
        <w:div w:id="1921787568">
          <w:marLeft w:val="274"/>
          <w:marRight w:val="0"/>
          <w:marTop w:val="0"/>
          <w:marBottom w:val="0"/>
          <w:divBdr>
            <w:top w:val="none" w:sz="0" w:space="0" w:color="auto"/>
            <w:left w:val="none" w:sz="0" w:space="0" w:color="auto"/>
            <w:bottom w:val="none" w:sz="0" w:space="0" w:color="auto"/>
            <w:right w:val="none" w:sz="0" w:space="0" w:color="auto"/>
          </w:divBdr>
        </w:div>
        <w:div w:id="2055110256">
          <w:marLeft w:val="274"/>
          <w:marRight w:val="0"/>
          <w:marTop w:val="0"/>
          <w:marBottom w:val="0"/>
          <w:divBdr>
            <w:top w:val="none" w:sz="0" w:space="0" w:color="auto"/>
            <w:left w:val="none" w:sz="0" w:space="0" w:color="auto"/>
            <w:bottom w:val="none" w:sz="0" w:space="0" w:color="auto"/>
            <w:right w:val="none" w:sz="0" w:space="0" w:color="auto"/>
          </w:divBdr>
        </w:div>
      </w:divsChild>
    </w:div>
    <w:div w:id="1151019673">
      <w:bodyDiv w:val="1"/>
      <w:marLeft w:val="0"/>
      <w:marRight w:val="0"/>
      <w:marTop w:val="0"/>
      <w:marBottom w:val="0"/>
      <w:divBdr>
        <w:top w:val="none" w:sz="0" w:space="0" w:color="auto"/>
        <w:left w:val="none" w:sz="0" w:space="0" w:color="auto"/>
        <w:bottom w:val="none" w:sz="0" w:space="0" w:color="auto"/>
        <w:right w:val="none" w:sz="0" w:space="0" w:color="auto"/>
      </w:divBdr>
    </w:div>
    <w:div w:id="1305235664">
      <w:bodyDiv w:val="1"/>
      <w:marLeft w:val="0"/>
      <w:marRight w:val="0"/>
      <w:marTop w:val="0"/>
      <w:marBottom w:val="0"/>
      <w:divBdr>
        <w:top w:val="none" w:sz="0" w:space="0" w:color="auto"/>
        <w:left w:val="none" w:sz="0" w:space="0" w:color="auto"/>
        <w:bottom w:val="none" w:sz="0" w:space="0" w:color="auto"/>
        <w:right w:val="none" w:sz="0" w:space="0" w:color="auto"/>
      </w:divBdr>
      <w:divsChild>
        <w:div w:id="248470826">
          <w:marLeft w:val="274"/>
          <w:marRight w:val="0"/>
          <w:marTop w:val="0"/>
          <w:marBottom w:val="0"/>
          <w:divBdr>
            <w:top w:val="none" w:sz="0" w:space="0" w:color="auto"/>
            <w:left w:val="none" w:sz="0" w:space="0" w:color="auto"/>
            <w:bottom w:val="none" w:sz="0" w:space="0" w:color="auto"/>
            <w:right w:val="none" w:sz="0" w:space="0" w:color="auto"/>
          </w:divBdr>
        </w:div>
        <w:div w:id="640578144">
          <w:marLeft w:val="274"/>
          <w:marRight w:val="0"/>
          <w:marTop w:val="0"/>
          <w:marBottom w:val="0"/>
          <w:divBdr>
            <w:top w:val="none" w:sz="0" w:space="0" w:color="auto"/>
            <w:left w:val="none" w:sz="0" w:space="0" w:color="auto"/>
            <w:bottom w:val="none" w:sz="0" w:space="0" w:color="auto"/>
            <w:right w:val="none" w:sz="0" w:space="0" w:color="auto"/>
          </w:divBdr>
        </w:div>
        <w:div w:id="1089155929">
          <w:marLeft w:val="274"/>
          <w:marRight w:val="0"/>
          <w:marTop w:val="0"/>
          <w:marBottom w:val="0"/>
          <w:divBdr>
            <w:top w:val="none" w:sz="0" w:space="0" w:color="auto"/>
            <w:left w:val="none" w:sz="0" w:space="0" w:color="auto"/>
            <w:bottom w:val="none" w:sz="0" w:space="0" w:color="auto"/>
            <w:right w:val="none" w:sz="0" w:space="0" w:color="auto"/>
          </w:divBdr>
        </w:div>
        <w:div w:id="1352150188">
          <w:marLeft w:val="274"/>
          <w:marRight w:val="0"/>
          <w:marTop w:val="0"/>
          <w:marBottom w:val="0"/>
          <w:divBdr>
            <w:top w:val="none" w:sz="0" w:space="0" w:color="auto"/>
            <w:left w:val="none" w:sz="0" w:space="0" w:color="auto"/>
            <w:bottom w:val="none" w:sz="0" w:space="0" w:color="auto"/>
            <w:right w:val="none" w:sz="0" w:space="0" w:color="auto"/>
          </w:divBdr>
        </w:div>
        <w:div w:id="1494493260">
          <w:marLeft w:val="274"/>
          <w:marRight w:val="0"/>
          <w:marTop w:val="0"/>
          <w:marBottom w:val="0"/>
          <w:divBdr>
            <w:top w:val="none" w:sz="0" w:space="0" w:color="auto"/>
            <w:left w:val="none" w:sz="0" w:space="0" w:color="auto"/>
            <w:bottom w:val="none" w:sz="0" w:space="0" w:color="auto"/>
            <w:right w:val="none" w:sz="0" w:space="0" w:color="auto"/>
          </w:divBdr>
        </w:div>
        <w:div w:id="1642154571">
          <w:marLeft w:val="274"/>
          <w:marRight w:val="0"/>
          <w:marTop w:val="0"/>
          <w:marBottom w:val="0"/>
          <w:divBdr>
            <w:top w:val="none" w:sz="0" w:space="0" w:color="auto"/>
            <w:left w:val="none" w:sz="0" w:space="0" w:color="auto"/>
            <w:bottom w:val="none" w:sz="0" w:space="0" w:color="auto"/>
            <w:right w:val="none" w:sz="0" w:space="0" w:color="auto"/>
          </w:divBdr>
        </w:div>
        <w:div w:id="2088914298">
          <w:marLeft w:val="274"/>
          <w:marRight w:val="0"/>
          <w:marTop w:val="0"/>
          <w:marBottom w:val="0"/>
          <w:divBdr>
            <w:top w:val="none" w:sz="0" w:space="0" w:color="auto"/>
            <w:left w:val="none" w:sz="0" w:space="0" w:color="auto"/>
            <w:bottom w:val="none" w:sz="0" w:space="0" w:color="auto"/>
            <w:right w:val="none" w:sz="0" w:space="0" w:color="auto"/>
          </w:divBdr>
        </w:div>
      </w:divsChild>
    </w:div>
    <w:div w:id="1332871275">
      <w:bodyDiv w:val="1"/>
      <w:marLeft w:val="0"/>
      <w:marRight w:val="0"/>
      <w:marTop w:val="0"/>
      <w:marBottom w:val="0"/>
      <w:divBdr>
        <w:top w:val="none" w:sz="0" w:space="0" w:color="auto"/>
        <w:left w:val="none" w:sz="0" w:space="0" w:color="auto"/>
        <w:bottom w:val="none" w:sz="0" w:space="0" w:color="auto"/>
        <w:right w:val="none" w:sz="0" w:space="0" w:color="auto"/>
      </w:divBdr>
    </w:div>
    <w:div w:id="1644892486">
      <w:bodyDiv w:val="1"/>
      <w:marLeft w:val="0"/>
      <w:marRight w:val="0"/>
      <w:marTop w:val="0"/>
      <w:marBottom w:val="0"/>
      <w:divBdr>
        <w:top w:val="none" w:sz="0" w:space="0" w:color="auto"/>
        <w:left w:val="none" w:sz="0" w:space="0" w:color="auto"/>
        <w:bottom w:val="none" w:sz="0" w:space="0" w:color="auto"/>
        <w:right w:val="none" w:sz="0" w:space="0" w:color="auto"/>
      </w:divBdr>
    </w:div>
    <w:div w:id="1826311893">
      <w:bodyDiv w:val="1"/>
      <w:marLeft w:val="0"/>
      <w:marRight w:val="0"/>
      <w:marTop w:val="0"/>
      <w:marBottom w:val="0"/>
      <w:divBdr>
        <w:top w:val="none" w:sz="0" w:space="0" w:color="auto"/>
        <w:left w:val="none" w:sz="0" w:space="0" w:color="auto"/>
        <w:bottom w:val="none" w:sz="0" w:space="0" w:color="auto"/>
        <w:right w:val="none" w:sz="0" w:space="0" w:color="auto"/>
      </w:divBdr>
    </w:div>
    <w:div w:id="1867327907">
      <w:bodyDiv w:val="1"/>
      <w:marLeft w:val="0"/>
      <w:marRight w:val="0"/>
      <w:marTop w:val="0"/>
      <w:marBottom w:val="0"/>
      <w:divBdr>
        <w:top w:val="none" w:sz="0" w:space="0" w:color="auto"/>
        <w:left w:val="none" w:sz="0" w:space="0" w:color="auto"/>
        <w:bottom w:val="none" w:sz="0" w:space="0" w:color="auto"/>
        <w:right w:val="none" w:sz="0" w:space="0" w:color="auto"/>
      </w:divBdr>
    </w:div>
    <w:div w:id="1937446193">
      <w:bodyDiv w:val="1"/>
      <w:marLeft w:val="0"/>
      <w:marRight w:val="0"/>
      <w:marTop w:val="0"/>
      <w:marBottom w:val="0"/>
      <w:divBdr>
        <w:top w:val="none" w:sz="0" w:space="0" w:color="auto"/>
        <w:left w:val="none" w:sz="0" w:space="0" w:color="auto"/>
        <w:bottom w:val="none" w:sz="0" w:space="0" w:color="auto"/>
        <w:right w:val="none" w:sz="0" w:space="0" w:color="auto"/>
      </w:divBdr>
    </w:div>
    <w:div w:id="2010599550">
      <w:bodyDiv w:val="1"/>
      <w:marLeft w:val="0"/>
      <w:marRight w:val="0"/>
      <w:marTop w:val="0"/>
      <w:marBottom w:val="0"/>
      <w:divBdr>
        <w:top w:val="none" w:sz="0" w:space="0" w:color="auto"/>
        <w:left w:val="none" w:sz="0" w:space="0" w:color="auto"/>
        <w:bottom w:val="none" w:sz="0" w:space="0" w:color="auto"/>
        <w:right w:val="none" w:sz="0" w:space="0" w:color="auto"/>
      </w:divBdr>
      <w:divsChild>
        <w:div w:id="548499661">
          <w:marLeft w:val="274"/>
          <w:marRight w:val="0"/>
          <w:marTop w:val="0"/>
          <w:marBottom w:val="0"/>
          <w:divBdr>
            <w:top w:val="none" w:sz="0" w:space="0" w:color="auto"/>
            <w:left w:val="none" w:sz="0" w:space="0" w:color="auto"/>
            <w:bottom w:val="none" w:sz="0" w:space="0" w:color="auto"/>
            <w:right w:val="none" w:sz="0" w:space="0" w:color="auto"/>
          </w:divBdr>
        </w:div>
        <w:div w:id="589657820">
          <w:marLeft w:val="274"/>
          <w:marRight w:val="0"/>
          <w:marTop w:val="0"/>
          <w:marBottom w:val="0"/>
          <w:divBdr>
            <w:top w:val="none" w:sz="0" w:space="0" w:color="auto"/>
            <w:left w:val="none" w:sz="0" w:space="0" w:color="auto"/>
            <w:bottom w:val="none" w:sz="0" w:space="0" w:color="auto"/>
            <w:right w:val="none" w:sz="0" w:space="0" w:color="auto"/>
          </w:divBdr>
        </w:div>
        <w:div w:id="1495956114">
          <w:marLeft w:val="274"/>
          <w:marRight w:val="0"/>
          <w:marTop w:val="0"/>
          <w:marBottom w:val="0"/>
          <w:divBdr>
            <w:top w:val="none" w:sz="0" w:space="0" w:color="auto"/>
            <w:left w:val="none" w:sz="0" w:space="0" w:color="auto"/>
            <w:bottom w:val="none" w:sz="0" w:space="0" w:color="auto"/>
            <w:right w:val="none" w:sz="0" w:space="0" w:color="auto"/>
          </w:divBdr>
        </w:div>
        <w:div w:id="2106221966">
          <w:marLeft w:val="274"/>
          <w:marRight w:val="0"/>
          <w:marTop w:val="0"/>
          <w:marBottom w:val="0"/>
          <w:divBdr>
            <w:top w:val="none" w:sz="0" w:space="0" w:color="auto"/>
            <w:left w:val="none" w:sz="0" w:space="0" w:color="auto"/>
            <w:bottom w:val="none" w:sz="0" w:space="0" w:color="auto"/>
            <w:right w:val="none" w:sz="0" w:space="0" w:color="auto"/>
          </w:divBdr>
        </w:div>
      </w:divsChild>
    </w:div>
    <w:div w:id="2127582394">
      <w:bodyDiv w:val="1"/>
      <w:marLeft w:val="0"/>
      <w:marRight w:val="0"/>
      <w:marTop w:val="0"/>
      <w:marBottom w:val="0"/>
      <w:divBdr>
        <w:top w:val="none" w:sz="0" w:space="0" w:color="auto"/>
        <w:left w:val="none" w:sz="0" w:space="0" w:color="auto"/>
        <w:bottom w:val="none" w:sz="0" w:space="0" w:color="auto"/>
        <w:right w:val="none" w:sz="0" w:space="0" w:color="auto"/>
      </w:divBdr>
      <w:divsChild>
        <w:div w:id="75445632">
          <w:marLeft w:val="274"/>
          <w:marRight w:val="0"/>
          <w:marTop w:val="0"/>
          <w:marBottom w:val="0"/>
          <w:divBdr>
            <w:top w:val="none" w:sz="0" w:space="0" w:color="auto"/>
            <w:left w:val="none" w:sz="0" w:space="0" w:color="auto"/>
            <w:bottom w:val="none" w:sz="0" w:space="0" w:color="auto"/>
            <w:right w:val="none" w:sz="0" w:space="0" w:color="auto"/>
          </w:divBdr>
        </w:div>
        <w:div w:id="124280726">
          <w:marLeft w:val="274"/>
          <w:marRight w:val="0"/>
          <w:marTop w:val="0"/>
          <w:marBottom w:val="0"/>
          <w:divBdr>
            <w:top w:val="none" w:sz="0" w:space="0" w:color="auto"/>
            <w:left w:val="none" w:sz="0" w:space="0" w:color="auto"/>
            <w:bottom w:val="none" w:sz="0" w:space="0" w:color="auto"/>
            <w:right w:val="none" w:sz="0" w:space="0" w:color="auto"/>
          </w:divBdr>
        </w:div>
        <w:div w:id="330185335">
          <w:marLeft w:val="274"/>
          <w:marRight w:val="0"/>
          <w:marTop w:val="0"/>
          <w:marBottom w:val="0"/>
          <w:divBdr>
            <w:top w:val="none" w:sz="0" w:space="0" w:color="auto"/>
            <w:left w:val="none" w:sz="0" w:space="0" w:color="auto"/>
            <w:bottom w:val="none" w:sz="0" w:space="0" w:color="auto"/>
            <w:right w:val="none" w:sz="0" w:space="0" w:color="auto"/>
          </w:divBdr>
        </w:div>
        <w:div w:id="334310765">
          <w:marLeft w:val="274"/>
          <w:marRight w:val="0"/>
          <w:marTop w:val="0"/>
          <w:marBottom w:val="0"/>
          <w:divBdr>
            <w:top w:val="none" w:sz="0" w:space="0" w:color="auto"/>
            <w:left w:val="none" w:sz="0" w:space="0" w:color="auto"/>
            <w:bottom w:val="none" w:sz="0" w:space="0" w:color="auto"/>
            <w:right w:val="none" w:sz="0" w:space="0" w:color="auto"/>
          </w:divBdr>
        </w:div>
        <w:div w:id="610432137">
          <w:marLeft w:val="274"/>
          <w:marRight w:val="0"/>
          <w:marTop w:val="0"/>
          <w:marBottom w:val="0"/>
          <w:divBdr>
            <w:top w:val="none" w:sz="0" w:space="0" w:color="auto"/>
            <w:left w:val="none" w:sz="0" w:space="0" w:color="auto"/>
            <w:bottom w:val="none" w:sz="0" w:space="0" w:color="auto"/>
            <w:right w:val="none" w:sz="0" w:space="0" w:color="auto"/>
          </w:divBdr>
        </w:div>
        <w:div w:id="656615947">
          <w:marLeft w:val="274"/>
          <w:marRight w:val="0"/>
          <w:marTop w:val="0"/>
          <w:marBottom w:val="0"/>
          <w:divBdr>
            <w:top w:val="none" w:sz="0" w:space="0" w:color="auto"/>
            <w:left w:val="none" w:sz="0" w:space="0" w:color="auto"/>
            <w:bottom w:val="none" w:sz="0" w:space="0" w:color="auto"/>
            <w:right w:val="none" w:sz="0" w:space="0" w:color="auto"/>
          </w:divBdr>
        </w:div>
        <w:div w:id="941256281">
          <w:marLeft w:val="274"/>
          <w:marRight w:val="0"/>
          <w:marTop w:val="0"/>
          <w:marBottom w:val="0"/>
          <w:divBdr>
            <w:top w:val="none" w:sz="0" w:space="0" w:color="auto"/>
            <w:left w:val="none" w:sz="0" w:space="0" w:color="auto"/>
            <w:bottom w:val="none" w:sz="0" w:space="0" w:color="auto"/>
            <w:right w:val="none" w:sz="0" w:space="0" w:color="auto"/>
          </w:divBdr>
        </w:div>
        <w:div w:id="1481846325">
          <w:marLeft w:val="274"/>
          <w:marRight w:val="0"/>
          <w:marTop w:val="0"/>
          <w:marBottom w:val="0"/>
          <w:divBdr>
            <w:top w:val="none" w:sz="0" w:space="0" w:color="auto"/>
            <w:left w:val="none" w:sz="0" w:space="0" w:color="auto"/>
            <w:bottom w:val="none" w:sz="0" w:space="0" w:color="auto"/>
            <w:right w:val="none" w:sz="0" w:space="0" w:color="auto"/>
          </w:divBdr>
        </w:div>
        <w:div w:id="20071718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iabetesgenes.org/tests-for-diabetes-subtypes/guidelines-for-genetic-testing-in-mod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rend-uk.org/documents/TREND_3rd.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healthyliving.nhs.uk" TargetMode="External" Id="rId14" /><Relationship Type="http://schemas.openxmlformats.org/officeDocument/2006/relationships/hyperlink" Target="https://nhs.sharepoint.com/:x:/r/sites/msteams_22ccb5/Shared%20Documents/Virtual%20Group%20Consultations/Enhanced%20Service%20Specifications/Level%202-3/Diabetes%20Level%202%20Service%20-PCN%20Contract%20Variation%20Values%202023-24%20v0.4.xlsx?d=wa50d0f930d314c8fa5813ad5ba4da641&amp;csf=1&amp;web=1&amp;e=LIccPC" TargetMode="External" Id="R8c9d7362fa1f4c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824a93a-d672-4e5e-99e1-dcc964c241bb">
      <Terms xmlns="http://schemas.microsoft.com/office/infopath/2007/PartnerControls"/>
    </lcf76f155ced4ddcb4097134ff3c332f>
    <TaxCatchAll xmlns="67370455-be23-4e4b-ba8a-ccf23e6bd6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85ADD596E3EA449288311246775070" ma:contentTypeVersion="18" ma:contentTypeDescription="Create a new document." ma:contentTypeScope="" ma:versionID="dadd2d91b65e01baf77289f57e673703">
  <xsd:schema xmlns:xsd="http://www.w3.org/2001/XMLSchema" xmlns:xs="http://www.w3.org/2001/XMLSchema" xmlns:p="http://schemas.microsoft.com/office/2006/metadata/properties" xmlns:ns1="http://schemas.microsoft.com/sharepoint/v3" xmlns:ns2="e824a93a-d672-4e5e-99e1-dcc964c241bb" xmlns:ns3="67370455-be23-4e4b-ba8a-ccf23e6bd697" targetNamespace="http://schemas.microsoft.com/office/2006/metadata/properties" ma:root="true" ma:fieldsID="66377166453208c7fd1832ac5f1b91da" ns1:_="" ns2:_="" ns3:_="">
    <xsd:import namespace="http://schemas.microsoft.com/sharepoint/v3"/>
    <xsd:import namespace="e824a93a-d672-4e5e-99e1-dcc964c241bb"/>
    <xsd:import namespace="67370455-be23-4e4b-ba8a-ccf23e6bd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4a93a-d672-4e5e-99e1-dcc964c24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370455-be23-4e4b-ba8a-ccf23e6bd6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91e29c-216f-4e51-86dc-7b00c1e02018}" ma:internalName="TaxCatchAll" ma:showField="CatchAllData" ma:web="67370455-be23-4e4b-ba8a-ccf23e6b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57206-8F3B-47B3-AE7C-E7490D5CDE09}">
  <ds:schemaRefs>
    <ds:schemaRef ds:uri="http://schemas.microsoft.com/sharepoint/v3/contenttype/forms"/>
  </ds:schemaRefs>
</ds:datastoreItem>
</file>

<file path=customXml/itemProps2.xml><?xml version="1.0" encoding="utf-8"?>
<ds:datastoreItem xmlns:ds="http://schemas.openxmlformats.org/officeDocument/2006/customXml" ds:itemID="{3C1AD828-0B7C-47A5-8798-55D401720483}">
  <ds:schemaRefs>
    <ds:schemaRef ds:uri="http://schemas.microsoft.com/office/2006/documentManagement/types"/>
    <ds:schemaRef ds:uri="67370455-be23-4e4b-ba8a-ccf23e6bd697"/>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e824a93a-d672-4e5e-99e1-dcc964c241bb"/>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02E60213-208D-42D0-B504-27824AF507E1}">
  <ds:schemaRefs>
    <ds:schemaRef ds:uri="http://schemas.openxmlformats.org/officeDocument/2006/bibliography"/>
  </ds:schemaRefs>
</ds:datastoreItem>
</file>

<file path=customXml/itemProps4.xml><?xml version="1.0" encoding="utf-8"?>
<ds:datastoreItem xmlns:ds="http://schemas.openxmlformats.org/officeDocument/2006/customXml" ds:itemID="{FCCAE8D8-CF3D-470F-A70A-85AA62BD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24a93a-d672-4e5e-99e1-dcc964c241bb"/>
    <ds:schemaRef ds:uri="67370455-be23-4e4b-ba8a-ccf23e6b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NWLONDONCCGS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Parker</dc:creator>
  <keywords/>
  <dc:description/>
  <lastModifiedBy>BHACHU, Kam (NHS NORTH WEST LONDON ICB - W2U3Z)</lastModifiedBy>
  <revision>125</revision>
  <dcterms:created xsi:type="dcterms:W3CDTF">2023-08-29T08:13:00.0000000Z</dcterms:created>
  <dcterms:modified xsi:type="dcterms:W3CDTF">2023-11-16T10:42:20.1790879Z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0x010100A285ADD596E3EA449288311246775070</vt:lpwstr>
  </property>
  <property fmtid="{D5CDD505-2E9C-101B-9397-08002B2CF9AE}" pid="3" name="MediaServiceImageTags">
    <vt:lpwstr/>
  </property>
</Properties>
</file>